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56702">
      <w:pPr>
        <w:keepNext/>
        <w:spacing w:after="200" w:line="276" w:lineRule="auto"/>
        <w:jc w:val="center"/>
        <w:outlineLvl w:val="5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БРЯНСКАЯ ОБЛАСТЬ</w:t>
      </w:r>
    </w:p>
    <w:p w14:paraId="58FDA545">
      <w:pPr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ТЕРРИТОРИАЛЬНАЯ ИЗБИРАТЕЛЬНАЯ КОМИССИЯ</w:t>
      </w:r>
    </w:p>
    <w:p w14:paraId="15BA3756">
      <w:pPr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БРЯНСКОГО РАЙОНА</w:t>
      </w:r>
    </w:p>
    <w:tbl>
      <w:tblPr>
        <w:tblStyle w:val="8"/>
        <w:tblW w:w="0" w:type="auto"/>
        <w:tblInd w:w="0" w:type="dxa"/>
        <w:tblBorders>
          <w:top w:val="thickThinSmallGap" w:color="auto" w:sz="2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010"/>
      </w:tblGrid>
      <w:tr w14:paraId="56C3C0C2">
        <w:tblPrEx>
          <w:tblBorders>
            <w:top w:val="thickThinSmallGap" w:color="auto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0" w:type="dxa"/>
            <w:gridSpan w:val="2"/>
            <w:tcBorders>
              <w:top w:val="thickThinSmallGap" w:color="auto" w:sz="24" w:space="0"/>
              <w:left w:val="nil"/>
              <w:bottom w:val="nil"/>
              <w:right w:val="nil"/>
            </w:tcBorders>
          </w:tcPr>
          <w:p w14:paraId="23E9ADF8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</w:rPr>
            </w:pPr>
            <w:r>
              <w:rPr>
                <w:b/>
                <w:bCs/>
                <w:kern w:val="2"/>
                <w:sz w:val="26"/>
                <w:szCs w:val="26"/>
              </w:rPr>
              <w:t>РЕШЕНИЕ</w:t>
            </w:r>
          </w:p>
        </w:tc>
      </w:tr>
      <w:tr w14:paraId="01827808">
        <w:tblPrEx>
          <w:tblBorders>
            <w:top w:val="thickThinSmallGap" w:color="auto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EC6BF20">
            <w:pPr>
              <w:spacing w:line="276" w:lineRule="auto"/>
              <w:rPr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 xml:space="preserve"> </w:t>
            </w:r>
            <w:r>
              <w:rPr>
                <w:rFonts w:hint="default"/>
                <w:bCs/>
                <w:kern w:val="2"/>
                <w:szCs w:val="28"/>
                <w:lang w:val="ru-RU"/>
              </w:rPr>
              <w:t>26</w:t>
            </w:r>
            <w:r>
              <w:rPr>
                <w:bCs/>
                <w:kern w:val="2"/>
                <w:szCs w:val="28"/>
              </w:rPr>
              <w:t xml:space="preserve"> июня 2026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99EF0A4">
            <w:pPr>
              <w:spacing w:line="276" w:lineRule="auto"/>
              <w:rPr>
                <w:b/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 xml:space="preserve">                                    №</w:t>
            </w:r>
            <w:r>
              <w:rPr>
                <w:b/>
                <w:bCs/>
                <w:kern w:val="2"/>
                <w:szCs w:val="28"/>
              </w:rPr>
              <w:t> </w:t>
            </w:r>
            <w:r>
              <w:rPr>
                <w:bCs/>
                <w:kern w:val="2"/>
                <w:szCs w:val="28"/>
              </w:rPr>
              <w:t>1.18</w:t>
            </w:r>
          </w:p>
        </w:tc>
      </w:tr>
    </w:tbl>
    <w:p w14:paraId="05438415">
      <w:pPr>
        <w:jc w:val="center"/>
        <w:rPr>
          <w:i/>
          <w:kern w:val="2"/>
          <w:sz w:val="20"/>
        </w:rPr>
      </w:pPr>
      <w:r>
        <w:rPr>
          <w:kern w:val="2"/>
          <w:sz w:val="20"/>
        </w:rPr>
        <w:t>с. Глинищево</w:t>
      </w:r>
    </w:p>
    <w:p w14:paraId="0A2EBD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Комплексе мер по обеспечению информирования избирателей об избирательных объединениях, выдвинувших единые списки кандидатов, кандидатов по одномандатным избирательным округам, о единых списках кандидатов, списках кандидатов по одномандатным избирательным округам, о кандидатах, зарегистрированных кандидатах при проведении дополнительных выборов депутатов  </w:t>
      </w:r>
    </w:p>
    <w:p w14:paraId="6D923B51">
      <w:pPr>
        <w:shd w:val="clear" w:color="auto" w:fill="FFFFFF"/>
        <w:ind w:right="34"/>
        <w:rPr>
          <w:sz w:val="18"/>
          <w:szCs w:val="18"/>
        </w:rPr>
      </w:pPr>
    </w:p>
    <w:p w14:paraId="2E28FB12">
      <w:pPr>
        <w:spacing w:line="216" w:lineRule="auto"/>
        <w:ind w:firstLine="851"/>
        <w:rPr>
          <w:i/>
          <w:sz w:val="24"/>
          <w:szCs w:val="24"/>
          <w:vertAlign w:val="superscript"/>
          <w:lang w:eastAsia="ru-RU"/>
        </w:rPr>
      </w:pPr>
      <w:r>
        <w:rPr>
          <w:sz w:val="24"/>
          <w:szCs w:val="24"/>
          <w:lang w:eastAsia="ru-RU"/>
        </w:rPr>
        <w:t>В соответствии с пунктами 7 и 8 статьи 33, пунктом 3 статьи 61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>
        <w:rPr>
          <w:szCs w:val="28"/>
          <w:lang w:eastAsia="ru-RU"/>
        </w:rPr>
        <w:t xml:space="preserve">, </w:t>
      </w:r>
      <w:r>
        <w:rPr>
          <w:sz w:val="24"/>
          <w:szCs w:val="24"/>
          <w:lang w:eastAsia="ru-RU"/>
        </w:rPr>
        <w:t xml:space="preserve">пунктами 8 и 9 статьи 19, пунктами 20 и 21 статьи 20, пунктом 3 статьи 40 </w:t>
      </w:r>
      <w:r>
        <w:rPr>
          <w:sz w:val="24"/>
          <w:szCs w:val="24"/>
        </w:rPr>
        <w:t>Закона Брянской области от 26 июня 2008 года № 54-З «О выборах депутатов представительных органов муниципальных образований в Брянской области» в</w:t>
      </w:r>
      <w:r>
        <w:rPr>
          <w:sz w:val="24"/>
          <w:szCs w:val="24"/>
          <w:lang w:eastAsia="ru-RU"/>
        </w:rPr>
        <w:t xml:space="preserve"> целях информирования избирателей т</w:t>
      </w:r>
      <w:r>
        <w:rPr>
          <w:sz w:val="24"/>
          <w:szCs w:val="24"/>
        </w:rPr>
        <w:t>ерриториальная избирательная комиссия Брянского района</w:t>
      </w:r>
    </w:p>
    <w:p w14:paraId="7534AE6A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2FFA3A7C">
      <w:pPr>
        <w:rPr>
          <w:i/>
          <w:sz w:val="18"/>
          <w:szCs w:val="18"/>
        </w:rPr>
      </w:pPr>
      <w:r>
        <w:rPr>
          <w:sz w:val="24"/>
          <w:szCs w:val="24"/>
        </w:rPr>
        <w:t xml:space="preserve">           1. Утвердить Комплекс мер по обеспечению информирования избирателей об избирательных объединениях, выдвинувших </w:t>
      </w:r>
      <w:r>
        <w:rPr>
          <w:bCs/>
          <w:sz w:val="24"/>
          <w:szCs w:val="24"/>
        </w:rPr>
        <w:t xml:space="preserve">единые списки кандидатов, кандидатов по одномандатным избирательным округам, о единых списках кандидатов, списках кандидатов по одномандатным избирательным округам, о кандидатах, </w:t>
      </w:r>
      <w:r>
        <w:rPr>
          <w:sz w:val="24"/>
          <w:szCs w:val="24"/>
        </w:rPr>
        <w:t>зарегистрированных кандидатах при проведении дополнительных выборов выборов депутатов  20 сентября 2026 года.</w:t>
      </w:r>
    </w:p>
    <w:p w14:paraId="2DA26F47">
      <w:pPr>
        <w:shd w:val="clear" w:color="auto" w:fill="FFFFFF"/>
        <w:ind w:firstLine="691"/>
        <w:rPr>
          <w:sz w:val="24"/>
          <w:szCs w:val="24"/>
          <w:lang w:eastAsia="ru-RU"/>
        </w:rPr>
      </w:pPr>
    </w:p>
    <w:p w14:paraId="4B93D487">
      <w:pPr>
        <w:shd w:val="clear" w:color="auto" w:fill="FFFFFF"/>
        <w:ind w:firstLine="691"/>
        <w:rPr>
          <w:sz w:val="24"/>
          <w:szCs w:val="24"/>
          <w:vertAlign w:val="superscript"/>
          <w:lang w:eastAsia="ru-RU"/>
        </w:rPr>
      </w:pPr>
      <w:r>
        <w:rPr>
          <w:sz w:val="24"/>
          <w:szCs w:val="24"/>
          <w:lang w:eastAsia="ru-RU"/>
        </w:rPr>
        <w:t xml:space="preserve">2. Разместить настоящее решение на информационном стенде и информационной странице территориальной избирательной комиссии Брянского района в информационно-телекоммуникационной сети «Интернет».      </w:t>
      </w:r>
    </w:p>
    <w:p w14:paraId="014D21CD">
      <w:pPr>
        <w:shd w:val="clear" w:color="auto" w:fill="FFFFFF"/>
        <w:tabs>
          <w:tab w:val="center" w:pos="5023"/>
        </w:tabs>
        <w:ind w:firstLine="691"/>
        <w:rPr>
          <w:sz w:val="24"/>
          <w:szCs w:val="24"/>
          <w:vertAlign w:val="superscript"/>
          <w:lang w:eastAsia="ru-RU"/>
        </w:rPr>
      </w:pPr>
    </w:p>
    <w:tbl>
      <w:tblPr>
        <w:tblStyle w:val="8"/>
        <w:tblW w:w="101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2409"/>
        <w:gridCol w:w="3194"/>
      </w:tblGrid>
      <w:tr w14:paraId="09884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0407008A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Председатель</w:t>
            </w:r>
          </w:p>
          <w:p w14:paraId="1BAC50AD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04152950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комиссии Брянского района   </w:t>
            </w:r>
          </w:p>
        </w:tc>
        <w:tc>
          <w:tcPr>
            <w:tcW w:w="2409" w:type="dxa"/>
            <w:vAlign w:val="bottom"/>
          </w:tcPr>
          <w:p w14:paraId="670235D2">
            <w:pPr>
              <w:tabs>
                <w:tab w:val="left" w:pos="993"/>
              </w:tabs>
              <w:spacing w:line="276" w:lineRule="auto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  <w:p w14:paraId="0905E645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vAlign w:val="bottom"/>
          </w:tcPr>
          <w:p w14:paraId="1D61D193">
            <w:pPr>
              <w:tabs>
                <w:tab w:val="left" w:pos="993"/>
              </w:tabs>
              <w:spacing w:line="276" w:lineRule="auto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Е.А.Романова</w:t>
            </w:r>
          </w:p>
          <w:p w14:paraId="66E20FE2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14:paraId="28F70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4CB1AD92">
            <w:pPr>
              <w:spacing w:line="276" w:lineRule="auto"/>
              <w:rPr>
                <w:i/>
                <w:sz w:val="16"/>
                <w:szCs w:val="16"/>
                <w:lang w:eastAsia="ru-RU"/>
              </w:rPr>
            </w:pPr>
            <w:r>
              <w:rPr>
                <w:i/>
                <w:sz w:val="16"/>
                <w:szCs w:val="16"/>
                <w:lang w:eastAsia="ru-RU"/>
              </w:rPr>
              <w:t xml:space="preserve">                        </w:t>
            </w:r>
          </w:p>
          <w:p w14:paraId="198C83A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14:paraId="3EA2738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vAlign w:val="bottom"/>
          </w:tcPr>
          <w:p w14:paraId="793608A8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14:paraId="34471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1908E93A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Секретарь</w:t>
            </w:r>
          </w:p>
          <w:p w14:paraId="05E81A69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3449D46F">
            <w:pPr>
              <w:spacing w:line="276" w:lineRule="auto"/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комиссии Брянского района</w:t>
            </w:r>
          </w:p>
          <w:p w14:paraId="79750C2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16"/>
                <w:szCs w:val="16"/>
                <w:lang w:eastAsia="ru-RU"/>
              </w:rPr>
              <w:t xml:space="preserve">                    </w:t>
            </w:r>
          </w:p>
        </w:tc>
        <w:tc>
          <w:tcPr>
            <w:tcW w:w="2409" w:type="dxa"/>
            <w:vAlign w:val="bottom"/>
          </w:tcPr>
          <w:p w14:paraId="3978B805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  <w:p w14:paraId="171409B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vAlign w:val="bottom"/>
          </w:tcPr>
          <w:p w14:paraId="7AA558A8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А.В.Азаркина</w:t>
            </w:r>
          </w:p>
        </w:tc>
      </w:tr>
    </w:tbl>
    <w:p w14:paraId="26C8936D">
      <w:pPr>
        <w:autoSpaceDE w:val="0"/>
        <w:autoSpaceDN w:val="0"/>
        <w:adjustRightInd w:val="0"/>
        <w:rPr>
          <w:sz w:val="24"/>
          <w:szCs w:val="24"/>
        </w:rPr>
      </w:pPr>
    </w:p>
    <w:p w14:paraId="77CC90D0">
      <w:pPr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DDC820E">
      <w:pPr>
        <w:pStyle w:val="2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0F765517">
      <w:pPr>
        <w:pStyle w:val="2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решению территориальной </w:t>
      </w:r>
    </w:p>
    <w:p w14:paraId="49AB0C87">
      <w:pPr>
        <w:pStyle w:val="27"/>
        <w:jc w:val="right"/>
        <w:rPr>
          <w:sz w:val="24"/>
          <w:szCs w:val="24"/>
        </w:rPr>
      </w:pPr>
      <w:r>
        <w:rPr>
          <w:sz w:val="24"/>
          <w:szCs w:val="24"/>
        </w:rPr>
        <w:t>избирательной комиссии Брянского района</w:t>
      </w:r>
    </w:p>
    <w:p w14:paraId="420C6139">
      <w:pPr>
        <w:pStyle w:val="2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rFonts w:hint="default"/>
          <w:sz w:val="24"/>
          <w:szCs w:val="24"/>
          <w:lang w:val="ru-RU"/>
        </w:rPr>
        <w:t>26</w:t>
      </w:r>
      <w:r>
        <w:rPr>
          <w:sz w:val="24"/>
          <w:szCs w:val="24"/>
        </w:rPr>
        <w:t xml:space="preserve"> июня 2026 г. № 1.18</w:t>
      </w:r>
    </w:p>
    <w:p w14:paraId="6FFA9ACD">
      <w:pPr>
        <w:autoSpaceDE w:val="0"/>
        <w:autoSpaceDN w:val="0"/>
        <w:adjustRightInd w:val="0"/>
        <w:rPr>
          <w:sz w:val="24"/>
          <w:szCs w:val="24"/>
        </w:rPr>
      </w:pPr>
    </w:p>
    <w:p w14:paraId="7C1195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Комплекс мер по обеспечению информирования избирателей об избирательных объединениях, выдвинувших </w:t>
      </w:r>
      <w:r>
        <w:rPr>
          <w:b/>
          <w:bCs/>
          <w:sz w:val="24"/>
          <w:szCs w:val="24"/>
        </w:rPr>
        <w:t xml:space="preserve">единые списки кандидатов, кандидатов по одномандатным избирательным округам, о единых списках кандидатов, списках кандидатов по одномандатным избирательным округам, о кандидатах, </w:t>
      </w:r>
      <w:r>
        <w:rPr>
          <w:b/>
          <w:sz w:val="24"/>
          <w:szCs w:val="24"/>
        </w:rPr>
        <w:t xml:space="preserve">зарегистрированных кандидатах при проведении выборов депутатов  </w:t>
      </w:r>
    </w:p>
    <w:p w14:paraId="499485A3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6A8137EC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2861F6A6">
      <w:pPr>
        <w:rPr>
          <w:i/>
          <w:sz w:val="18"/>
          <w:szCs w:val="18"/>
        </w:rPr>
      </w:pPr>
      <w:r>
        <w:rPr>
          <w:sz w:val="24"/>
          <w:szCs w:val="24"/>
        </w:rPr>
        <w:t xml:space="preserve">              1</w:t>
      </w:r>
      <w:r>
        <w:rPr>
          <w:szCs w:val="28"/>
        </w:rPr>
        <w:t xml:space="preserve">. </w:t>
      </w:r>
      <w:r>
        <w:rPr>
          <w:sz w:val="24"/>
          <w:szCs w:val="24"/>
        </w:rPr>
        <w:t xml:space="preserve">Комплекс мер по обеспечению информирования избирателей об избирательных объединениях, выдвинувших </w:t>
      </w:r>
      <w:r>
        <w:rPr>
          <w:bCs/>
          <w:sz w:val="24"/>
          <w:szCs w:val="24"/>
        </w:rPr>
        <w:t xml:space="preserve">единые списки кандидатов, кандидатов по одномандатным избирательным округам, о единых списках кандидатов, списках кандидатов по одномандатным избирательным округам, о кандидатах, </w:t>
      </w:r>
      <w:r>
        <w:rPr>
          <w:sz w:val="24"/>
          <w:szCs w:val="24"/>
        </w:rPr>
        <w:t xml:space="preserve">зарегистрированных кандидатах при проведении выборов депутатов </w:t>
      </w:r>
      <w:r>
        <w:rPr>
          <w:i/>
          <w:sz w:val="18"/>
          <w:szCs w:val="18"/>
        </w:rPr>
        <w:t>20 сентября 2026 года</w:t>
      </w:r>
      <w:r>
        <w:rPr>
          <w:sz w:val="24"/>
          <w:szCs w:val="24"/>
        </w:rPr>
        <w:t xml:space="preserve"> (далее – Комплекс мер) разработан в целях реализации требований </w:t>
      </w:r>
      <w:r>
        <w:rPr>
          <w:sz w:val="24"/>
          <w:szCs w:val="24"/>
          <w:lang w:eastAsia="ru-RU"/>
        </w:rPr>
        <w:t xml:space="preserve">пунктов 8 и 9 статьи 19, пунктов 20 и 21 статьи 20, пункта 3 статьи 40 </w:t>
      </w:r>
      <w:r>
        <w:rPr>
          <w:sz w:val="24"/>
          <w:szCs w:val="24"/>
        </w:rPr>
        <w:t xml:space="preserve">Закона Брянской области от 26 июня 2008 года № 54-З «О выборах депутатов представительных органов муниципальных образований в Брянской области» </w:t>
      </w:r>
      <w:r>
        <w:rPr>
          <w:sz w:val="24"/>
          <w:szCs w:val="24"/>
          <w:lang w:eastAsia="ru-RU"/>
        </w:rPr>
        <w:t>(далее – Закон).</w:t>
      </w:r>
    </w:p>
    <w:p w14:paraId="51401346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2. Информирование избирателей, являющихся инвалидами, осуществляется с учетом постановления Центральной избирательной комиссии Российской Федерации от  </w:t>
      </w:r>
      <w:r>
        <w:rPr>
          <w:rFonts w:eastAsiaTheme="minorHAnsi"/>
          <w:sz w:val="24"/>
          <w:szCs w:val="24"/>
        </w:rPr>
        <w:t>29 июля 2020 года № 262/1933-7 (с изм. от 09 июня 2021 года № 9/78-8, от 27 июля 2022 года № 91/752-8, от 14 июня 2023 года № 118/937-8) «О Рекомендациях по обеспечению избирательных прав граждан Российской Федерации, являющихся инвалидами, при проведении выборов в Российской Федерации».</w:t>
      </w:r>
    </w:p>
    <w:p w14:paraId="4B693F25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             3. В целях информирования избирателей об избирательных объединениях, выдвинувших единые списки кандидатов, кандидатов по одномандатным избирательным округам, о кандидатах, включенных в единые списки кандидатов, о кандидатах, выдвинутых по одномандатным избирательным округам при проведении </w:t>
      </w:r>
      <w:r>
        <w:rPr>
          <w:sz w:val="24"/>
          <w:szCs w:val="24"/>
          <w:lang w:val="ru-RU"/>
        </w:rPr>
        <w:t>дополнительных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выборов депутат</w:t>
      </w:r>
      <w:r>
        <w:rPr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  <w:lang w:val="ru-RU"/>
        </w:rPr>
        <w:t xml:space="preserve"> Стекляннорадицкого Совета народных депутатов по Стекляннорадицкому одномандатному избирательному округу № 5.</w:t>
      </w:r>
    </w:p>
    <w:p w14:paraId="75A7A9D1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3.1. Территориальная избирательная комиссия </w:t>
      </w:r>
      <w:r>
        <w:rPr>
          <w:sz w:val="24"/>
          <w:szCs w:val="24"/>
          <w:lang w:val="ru-RU"/>
        </w:rPr>
        <w:t>Брянского</w:t>
      </w:r>
      <w:r>
        <w:rPr>
          <w:rFonts w:hint="default"/>
          <w:sz w:val="24"/>
          <w:szCs w:val="24"/>
          <w:lang w:val="ru-RU"/>
        </w:rPr>
        <w:t xml:space="preserve"> района </w:t>
      </w:r>
      <w:r>
        <w:rPr>
          <w:sz w:val="24"/>
          <w:szCs w:val="24"/>
        </w:rPr>
        <w:t xml:space="preserve">(далее - Комиссия) </w:t>
      </w:r>
      <w:bookmarkStart w:id="0" w:name="_GoBack"/>
      <w:bookmarkEnd w:id="0"/>
      <w:r>
        <w:rPr>
          <w:sz w:val="24"/>
          <w:szCs w:val="24"/>
        </w:rPr>
        <w:t xml:space="preserve">размещает на своей информационной странице в информационно-телекоммуникационной сети «Интернет» сведения о заверении единых списков кандидатов, списков кандидатов по одномандатным избирательным округам. Сведения о кандидатах, включенных в заверенные единые списки кандидатов, списки кандидатов по одномандатным избирательным округам размещаются в следующем объеме:        </w:t>
      </w:r>
    </w:p>
    <w:p w14:paraId="3C2AAB71">
      <w:pPr>
        <w:pStyle w:val="21"/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>фамилия, имя и отчество, дата рождения кандидата;</w:t>
      </w:r>
    </w:p>
    <w:p w14:paraId="4BFFD2E9">
      <w:pPr>
        <w:pStyle w:val="21"/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>в отношении кандидатов, выдвинутых по одномандатным избирательным округам, дополнительно указывается наименование и (или) номер одномандатного избирательного округа;</w:t>
      </w:r>
    </w:p>
    <w:p w14:paraId="304B0BB6">
      <w:pPr>
        <w:pStyle w:val="21"/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отношении кандидатов, выдвинутых в составе единого списка кандидатов, дополнительно указывается номер по порядку. </w:t>
      </w:r>
    </w:p>
    <w:p w14:paraId="4A0D2181">
      <w:pPr>
        <w:pStyle w:val="12"/>
        <w:spacing w:after="0"/>
        <w:ind w:left="0"/>
        <w:rPr>
          <w:i/>
          <w:sz w:val="24"/>
          <w:szCs w:val="24"/>
          <w:vertAlign w:val="superscript"/>
        </w:rPr>
      </w:pPr>
      <w:r>
        <w:rPr>
          <w:sz w:val="24"/>
          <w:szCs w:val="24"/>
        </w:rPr>
        <w:t>3.2. Комиссия не позднее чем через 48 часов после регистрации каждого единого списка кандидатов направляет в средство массовой информации, распространяемое на территории соответствующего единого муниципального округа, сведения о регистрации единого списка кандидатов вместе со сведениями о включенных в него зарегистрированных кандидатах в объеме, установленном пунктом 3.1 настоящего Комплекса мер.</w:t>
      </w:r>
    </w:p>
    <w:p w14:paraId="74CB2A47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3.3. На интернет-портале ГАС «Выборы» в информационно-телекоммуникационной сети «Интернет» размещаются сведения о каждом кандидате, включенном в единый список кандидатов, в следующем объеме:</w:t>
      </w:r>
    </w:p>
    <w:p w14:paraId="3121CC85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фамилия, имя и отчество;</w:t>
      </w:r>
    </w:p>
    <w:p w14:paraId="78AFE55A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дата и место рождения;</w:t>
      </w:r>
    </w:p>
    <w:p w14:paraId="0EFEA223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месте жительства (наименование субъекта Российской Федерации, района, города, иного населенного пункта; в случае, если кандидат не имеет места жительства в пределах Российской Федерации, соответствующие сведения не воспроизводятся или, указывается «не имеет»);</w:t>
      </w:r>
    </w:p>
    <w:p w14:paraId="599ED6AE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профессиональном образовании (с указанием организации, осуществляющей образовательную деятельность, года ее окончания) (при наличии);</w:t>
      </w:r>
    </w:p>
    <w:p w14:paraId="3D9EB35E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об основном месте работы или службы, занимаемой должности (в случае отсутствия основного места работы или службы - роде занятий);</w:t>
      </w:r>
    </w:p>
    <w:p w14:paraId="0C53F50B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если кандидат является депутатом и осуществляет свои полномочия на непостоянной основе, - сведения об этом с указанием наименование соответствующего представительного органа;</w:t>
      </w:r>
    </w:p>
    <w:p w14:paraId="0BEC5CF3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судимости, сведения о дате снятия или погашения судимости (при наличии):</w:t>
      </w:r>
    </w:p>
    <w:p w14:paraId="05B6815D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если судимость снята или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</w:p>
    <w:p w14:paraId="458D9145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</w:p>
    <w:p w14:paraId="630ADEA7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том, что кандидат является иностранным агентом, либо кандидатом, аффилированным с иностранным агентом (при наличии).</w:t>
      </w:r>
    </w:p>
    <w:p w14:paraId="330C9DA9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 Комиссия размещает на своей информационной странице в информационно-телекоммуникационной сети «Интернет» сведения о каждом кандидате, включенном в единый список кандидатов, в следующем объеме:</w:t>
      </w:r>
    </w:p>
    <w:p w14:paraId="060932F1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3.4.1. Источники и общая сумма доходов кандидата за 2024 год (в рублях).</w:t>
      </w:r>
    </w:p>
    <w:p w14:paraId="29F3F329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3.4.2. Сведения об имуществе по состоянию на 01 июня 2025 года (при наличии; для имущества общей собственности указывается ее вид, для имущества на праве общей долевой собственности указывается размер доли в праве):</w:t>
      </w:r>
    </w:p>
    <w:p w14:paraId="0EC43ACC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3.4.2.1. Недвижимое имущество, находящееся на территории Российской Федерации:</w:t>
      </w:r>
    </w:p>
    <w:p w14:paraId="191061DA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земельные участки (наименование субъекта Российской Федерации, района, города, иного населенного пункта, количество, общая площадь (кв. м) каждого; вид общей собственности);</w:t>
      </w:r>
    </w:p>
    <w:p w14:paraId="2486B573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жилые дома (наименование субъекта Российской Федерации, района, города, иного населенного пункта, количество, общая площадь (кв. м) каждого; вид общей собственности);</w:t>
      </w:r>
    </w:p>
    <w:p w14:paraId="5EEBBAAB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квартиры, комнаты (наименование субъекта Российской Федерации, района, города, иного населенного пункта количество, общая площадь (кв. м) каждой; вид общей собственности);</w:t>
      </w:r>
    </w:p>
    <w:p w14:paraId="14650D50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садовые дома (наименование субъекта Российской Федерации, района, города, иного населенного пункта количество, общая площадь (кв. м) каждой; вид общей собственности);</w:t>
      </w:r>
    </w:p>
    <w:p w14:paraId="03BC6BB7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машино-места (наименование субъекта Российской Федерации, района, города, иного населенного пункта количество, общая площадь (кв. м) каждого; вид общей собственности);</w:t>
      </w:r>
    </w:p>
    <w:p w14:paraId="6E7D010D">
      <w:pPr>
        <w:pStyle w:val="11"/>
        <w:tabs>
          <w:tab w:val="left" w:pos="1260"/>
        </w:tabs>
        <w:suppressAutoHyphens/>
        <w:spacing w:after="0" w:line="0" w:lineRule="atLeast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 xml:space="preserve">иное недвижимое имущество (наименование </w:t>
      </w:r>
      <w:r>
        <w:rPr>
          <w:sz w:val="24"/>
          <w:szCs w:val="24"/>
        </w:rPr>
        <w:t>субъекта Российской Федерации, района</w:t>
      </w:r>
      <w:r>
        <w:rPr>
          <w:color w:val="000000"/>
          <w:kern w:val="28"/>
          <w:sz w:val="24"/>
          <w:szCs w:val="24"/>
        </w:rPr>
        <w:t>,</w:t>
      </w:r>
      <w:r>
        <w:rPr>
          <w:sz w:val="24"/>
          <w:szCs w:val="24"/>
        </w:rPr>
        <w:t xml:space="preserve"> города, иного населенного пункта,</w:t>
      </w:r>
      <w:r>
        <w:rPr>
          <w:color w:val="000000"/>
          <w:kern w:val="28"/>
          <w:sz w:val="24"/>
          <w:szCs w:val="24"/>
        </w:rPr>
        <w:t xml:space="preserve"> наименование, общая площадь (кв. м) каждого объекта;</w:t>
      </w:r>
      <w:r>
        <w:rPr>
          <w:sz w:val="24"/>
          <w:szCs w:val="24"/>
        </w:rPr>
        <w:t xml:space="preserve"> вид общей собственности).</w:t>
      </w:r>
    </w:p>
    <w:p w14:paraId="4C9E4B0E">
      <w:pPr>
        <w:pStyle w:val="12"/>
        <w:spacing w:after="0" w:line="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3.4.2.2. Транспортные средства (общее количество (ед.), вид, марка, модель и год выпуска каждого).</w:t>
      </w:r>
    </w:p>
    <w:p w14:paraId="6FB23153">
      <w:pPr>
        <w:pStyle w:val="12"/>
        <w:spacing w:after="0"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3.4.2.3. Денежные средства и драгоценные металлы, находящиеся на счетах, во вкладах в банках (количество банковских счетов (вкладов) и общая сумма остатков на всех счетах (вкладах) в рублях).</w:t>
      </w:r>
    </w:p>
    <w:p w14:paraId="221B23CE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3.4.2.4. Акции (полное наименование каждой организации, включая ее организационно-правовую форму, количество акций по каждой организации с указанием номинальной стоимости одной акции в рублях по каждому виду).</w:t>
      </w:r>
    </w:p>
    <w:p w14:paraId="063969FC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3.4.2.5. Иные ценные бумаги (вид, полное наименование каждой организации, выпустившей ценную бумагу, включая ее организационно-правовую форму (фамилия, имя, отчество – для физических лиц), количество и общая стоимость в рублях по каждому виду).</w:t>
      </w:r>
    </w:p>
    <w:p w14:paraId="63A39B59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3.4.2.6. Иное участие в коммерческих организациях (указываются полное наименование организации, включая ее организационно-правовую форму, доля участия, выраженная в процентах или простой дроби от уставного (складочного) капитала).</w:t>
      </w:r>
    </w:p>
    <w:p w14:paraId="168B8505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3.5. Комиссия не позднее чем через 48 часов после регистрации каждого кандидата по соответствующему одномандатному избирательному округу направляет в средство массовой информации, распространяемое на территории соответствующего одномандатного избирательного округа,  сведения о зарегистрированном кандидате в объеме сведений не менее указанного в решении о его регистрации.</w:t>
      </w:r>
    </w:p>
    <w:p w14:paraId="017AC293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3.6. На интернет-портале ГАС «Выборы» в информационно-телекоммуникационной сети «Интернет» размещаются сведения о кандидатах, выдвинутых по одномандатным избирательным округам в объеме, установленном пунктом 3.3 настоящего Комплекса мер, с указанием наименования и (или) номера одномандатного избирательного округа.</w:t>
      </w:r>
    </w:p>
    <w:p w14:paraId="5D8725E4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3.7. Комиссия размещает на своей информационной странице в информационно-телекоммуникационной сети «Интернет» сведения о каждом зарегистрированном кандидате по соответствующему одномандатному избирательному округу в объеме, установленном пунктом 3.4 настоящего Комплекса мер.</w:t>
      </w:r>
    </w:p>
    <w:p w14:paraId="24C58747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4. Комиссия по мере получения информации о результатах проверки сведений, представленных кандидатами, направляет в средства массовой информации для опубликования и размещает на своей информационной странице в информационно-телекоммуникационной сети «Интернет» данные о выявленных фактах недостоверности представленных кандидатами сведений по форме согласно приложению к настоящему Комплексу мер. </w:t>
      </w:r>
    </w:p>
    <w:p w14:paraId="48E37FDD">
      <w:pPr>
        <w:pStyle w:val="40"/>
        <w:rPr>
          <w:sz w:val="24"/>
          <w:szCs w:val="24"/>
        </w:rPr>
      </w:pPr>
      <w:r>
        <w:rPr>
          <w:sz w:val="24"/>
          <w:szCs w:val="24"/>
        </w:rPr>
        <w:t xml:space="preserve">           5. В помещении для голосования либо непосредственно перед ним участковая избирательная комиссия оборудует информационный стенд (информационные стенды), на котором (на которых) размещает информацию обо всех единых списках кандидатов, внесенных в избирательный бюллетень, о выдвинувших их избирательных объединениях, о каждом зарегистрированном кандидате, внесенном в избирательный бюллетень для голосования по соответствующему одномандатному избирательному округу.</w:t>
      </w:r>
    </w:p>
    <w:p w14:paraId="5AAD2FA7">
      <w:pPr>
        <w:pStyle w:val="40"/>
        <w:rPr>
          <w:sz w:val="24"/>
          <w:szCs w:val="24"/>
        </w:rPr>
      </w:pPr>
      <w:r>
        <w:rPr>
          <w:sz w:val="24"/>
          <w:szCs w:val="24"/>
        </w:rPr>
        <w:t xml:space="preserve">               Размещение информации в помещении для голосования или непосредственно перед ним на стенах помещения приравнивается к размещению на информационном стенде.</w:t>
      </w:r>
    </w:p>
    <w:p w14:paraId="410A08DD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6. Не позднее чем за 10 дней до дня голосования Комиссия обеспечивает изготовление и направление в участковые избирательные комиссии для размещения на информационном стенде (информационных стендах) информационных плакатов и брошюр, содержащих следующую информацию: </w:t>
      </w:r>
    </w:p>
    <w:p w14:paraId="3902CF0B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6.1. Наименования избирательных объединений, выдвинувших единые списки кандидатов и эмблемы данных избирательных объединений (в случае представления) в порядке их размещения в избирательном бюллетене.</w:t>
      </w:r>
    </w:p>
    <w:p w14:paraId="3BCD9AC9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6.2. Биографические данные каждого зарегистрированного кандидата:</w:t>
      </w:r>
    </w:p>
    <w:p w14:paraId="59B7D6ED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фамилия, имя, отчество (если фамилии, имена и отчества двух и более кандидатов, выдвинутых по одномандатным избирательным округам, совпадают полностью, сведения о кандидатах размещаются в соответствии с датами рождения кандидатов (первыми указываются сведения о старшем кандидате).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прежние фамилия, имя, отчество кандидата;</w:t>
      </w:r>
    </w:p>
    <w:p w14:paraId="7CBD2DFE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год и место рождения;</w:t>
      </w:r>
    </w:p>
    <w:p w14:paraId="009A58B2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месте жительства (наименование субъекта Российской Федерации, района, города, иного населенного пункта, где находится место жительства кандидата в случае, если кандидат не имеет места жительства в пределах Российской Федерации, соответствующие сведения не воспроизводятся или, указывается «не имеет»);</w:t>
      </w:r>
    </w:p>
    <w:p w14:paraId="3C495C09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профессиональном образовании (с указанием организации, осуществляющей образовательную деятельность, года ее окончания) (при наличии);</w:t>
      </w:r>
    </w:p>
    <w:p w14:paraId="655CA806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сведения о принадлежности кандидата к выдвинувшей его политической партии, иному общественному объединению и его статус в данной политической партии, общественном объединении (при наличии); </w:t>
      </w:r>
    </w:p>
    <w:p w14:paraId="2EA6E2EB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основное место работы или службы, занимаемая должность (в случае отсутствия основного места работы или службы указывается род занятий);</w:t>
      </w:r>
    </w:p>
    <w:p w14:paraId="535C2B0F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если кандидат является депутатом и осуществляет свои полномочия на непостоянной основе, – сведения о том, что он является депутатом и осуществляет свои полномочия на непостоянной основе, с указанием наименования соответствующего представительного органа;</w:t>
      </w:r>
    </w:p>
    <w:p w14:paraId="11ECC88D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судимости, сведения о дате снятия или погашения судимости (при наличии):</w:t>
      </w:r>
    </w:p>
    <w:p w14:paraId="43D6847E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если судимость снята или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</w:p>
    <w:p w14:paraId="17A5A341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</w:p>
    <w:p w14:paraId="4874A10C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том, что кандидат является кандидатом, аффилированным с иностранным агентом (при наличии).</w:t>
      </w:r>
    </w:p>
    <w:p w14:paraId="3D53182F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6.3.  Сведения о доходах и об имуществе зарегистрированного кандидата в объеме сведений, установленном пунктом 3.4. настоящего Комплекса мер.</w:t>
      </w:r>
    </w:p>
    <w:p w14:paraId="37D3A036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6.4. Сведения о выявленных фактах недостоверности сведений, представленных каждым зарегистрированным кандидатом в Комиссию. </w:t>
      </w:r>
    </w:p>
    <w:p w14:paraId="4CB608FD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6.5. Если кандидат по одномандатному избирательному округу выдвинут избирательным объединением, указываются слова «выдвинут избирательным объединением» с указанием наименования этого избирательного объединения, если кандидат сам выдвинул свою кандидатуру, указывается слово «самовыдвижение».  </w:t>
      </w:r>
    </w:p>
    <w:p w14:paraId="7E83B5C9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6.6. В сведения о кандидате по одномандатному избирательному округу могут также включаться представленные кандидатом одновременно с документами для регистрации кандидата подтвержденные документально сведения о наличии государственных наград</w:t>
      </w:r>
      <w:r>
        <w:rPr>
          <w:color w:val="FF0000"/>
          <w:sz w:val="24"/>
          <w:szCs w:val="24"/>
        </w:rPr>
        <w:t>, …..</w:t>
      </w:r>
      <w:r>
        <w:rPr>
          <w:rStyle w:val="9"/>
          <w:color w:val="FF0000"/>
          <w:sz w:val="24"/>
          <w:szCs w:val="24"/>
        </w:rPr>
        <w:footnoteReference w:id="0"/>
      </w:r>
      <w:r>
        <w:rPr>
          <w:sz w:val="24"/>
          <w:szCs w:val="24"/>
        </w:rPr>
        <w:t>.</w:t>
      </w:r>
    </w:p>
    <w:p w14:paraId="1DE1E518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6.7. Перед биографическими данными о зарегистрированных кандидатах по одномандатным  избирательным  округам размещаются их фотографии одинакового размера в цветном исполнении с изображением кандидата (фотография должна соответствовать возрасту кандидата; на фотографии кандидат изображается строго в анфас и смотрящим прямо; глаза должны быть открытыми, а волосы и оправа (блики на стеклах, тонировка) очков не должны заслонять их;  не допускается представление фотографий в головных уборах, за исключением  случая, если религиозные убеждения кандидата не позволяют показываться перед посторонними лицами без головных уборов, при условии что головной убор не скрывает овал лица кандидата; на фотографии должны помещаться голова и верхняя часть плеч кандидата; изображение лица на фотографии должно быть в фокусе; фон должен быть нейтральный (светлый), </w:t>
      </w:r>
      <w:r>
        <w:rPr>
          <w:color w:val="0A0A0A"/>
          <w:sz w:val="24"/>
          <w:szCs w:val="24"/>
        </w:rPr>
        <w:t>без полос, пятен и изображения посторонних предметов и теней;</w:t>
      </w:r>
      <w:r>
        <w:rPr>
          <w:sz w:val="24"/>
          <w:szCs w:val="24"/>
        </w:rPr>
        <w:t xml:space="preserve"> элементы одежды, руки, посторонние предметы не должны закрывать овал лица; не допускается представление фотографии с изображением не включенных в биографические сведения о кандидате наград, запрещается использовать фотографию, содержащую признаки предвыборной агитации).</w:t>
      </w:r>
    </w:p>
    <w:p w14:paraId="7E1E93F8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Фотография для размещения на информационном стенде предоставляется кандидатом в цветном изображении на бумажном носителе (размер 9х12 см) и в машиночитаемом виде в формате </w:t>
      </w:r>
      <w:r>
        <w:rPr>
          <w:sz w:val="24"/>
          <w:szCs w:val="24"/>
          <w:lang w:val="en-US"/>
        </w:rPr>
        <w:t>JPEG</w:t>
      </w:r>
      <w:r>
        <w:rPr>
          <w:sz w:val="24"/>
          <w:szCs w:val="24"/>
        </w:rPr>
        <w:t xml:space="preserve"> одновременно с документами для регистрации кандидата. В случае непредставления фотографии Комиссия вправе использовать для размещения на информационном стенде фотографию, представленную кандидатом для изготовления удостоверения (при наличии), а при невозможности ее использования, сведения о кандидате размещаются без фотографии.</w:t>
      </w:r>
    </w:p>
    <w:p w14:paraId="761F9185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6.8. Сведения информационных плакатов и брошюр об избирательных объединениях, кандидатах по соответствующему избирательному округу для размещения на информационном стенде должны быть напечатаны одинаковым шрифтом.</w:t>
      </w:r>
    </w:p>
    <w:p w14:paraId="341E820B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6.9 Сведения об избирательных объединениях, кандидатах по соответствующему избирательному округу размещаются в информационных плакатах и брошюрах в равном объеме и в той же последовательности, что и в избирательных бюллетенях.</w:t>
      </w:r>
    </w:p>
    <w:p w14:paraId="116FBB0A">
      <w:pPr>
        <w:pStyle w:val="1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6.10. В случае необходимости внесения изменений в информационные плакаты и брошюры после их изготовления, допускается их дополнение, в том числе подклейка информации, исключение сведений, в том числе заклейка информации, а также внесение, изменение, исключение сведений иными способами.</w:t>
      </w:r>
    </w:p>
    <w:p w14:paraId="06671659">
      <w:pPr>
        <w:pStyle w:val="12"/>
        <w:spacing w:after="0"/>
        <w:ind w:left="0"/>
        <w:rPr>
          <w:sz w:val="24"/>
          <w:szCs w:val="24"/>
        </w:rPr>
      </w:pPr>
    </w:p>
    <w:p w14:paraId="3BD11226">
      <w:pPr>
        <w:pStyle w:val="12"/>
        <w:spacing w:after="0"/>
        <w:ind w:left="0"/>
        <w:rPr>
          <w:sz w:val="24"/>
          <w:szCs w:val="24"/>
        </w:rPr>
      </w:pPr>
    </w:p>
    <w:p w14:paraId="5EB21006">
      <w:pPr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210"/>
      </w:tblGrid>
      <w:tr w14:paraId="33D86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D964F">
            <w:pPr>
              <w:rPr>
                <w:sz w:val="20"/>
              </w:rPr>
            </w:pPr>
          </w:p>
          <w:p w14:paraId="3A1C56A0">
            <w:pPr>
              <w:rPr>
                <w:sz w:val="20"/>
              </w:rPr>
            </w:pPr>
          </w:p>
          <w:p w14:paraId="6C3410C3">
            <w:pPr>
              <w:rPr>
                <w:sz w:val="20"/>
              </w:rPr>
            </w:pPr>
          </w:p>
          <w:p w14:paraId="24740479">
            <w:pPr>
              <w:rPr>
                <w:sz w:val="20"/>
              </w:rPr>
            </w:pPr>
          </w:p>
          <w:p w14:paraId="11DC64B6">
            <w:pPr>
              <w:rPr>
                <w:sz w:val="20"/>
              </w:rPr>
            </w:pPr>
            <w:r>
              <w:rPr>
                <w:sz w:val="20"/>
              </w:rPr>
              <w:br w:type="page"/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104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к Комплексу мер по обеспечению информирования избирателей об избирательных объединениях, выдвинувших единые списки кандидатов,  кандидатов, о единых списках кандидатов, списках кандидатов по одномандатным избирательным округам, о кандидатах, зарегистрированных кандидатах при проведении выборов депутатов  </w:t>
            </w:r>
          </w:p>
          <w:p w14:paraId="3EF0B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 </w:t>
            </w:r>
          </w:p>
        </w:tc>
      </w:tr>
    </w:tbl>
    <w:p w14:paraId="10CA25A3">
      <w:pPr>
        <w:tabs>
          <w:tab w:val="left" w:pos="6750"/>
        </w:tabs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(наименование представительного органа муниципального образования) </w:t>
      </w:r>
    </w:p>
    <w:p w14:paraId="361296B6">
      <w:pPr>
        <w:jc w:val="center"/>
        <w:rPr>
          <w:bCs/>
          <w:sz w:val="22"/>
        </w:rPr>
      </w:pPr>
    </w:p>
    <w:p w14:paraId="022C9C50">
      <w:pPr>
        <w:jc w:val="center"/>
        <w:rPr>
          <w:bCs/>
          <w:sz w:val="22"/>
        </w:rPr>
      </w:pPr>
    </w:p>
    <w:p w14:paraId="04755486">
      <w:pPr>
        <w:jc w:val="center"/>
        <w:rPr>
          <w:bCs/>
          <w:sz w:val="22"/>
        </w:rPr>
      </w:pPr>
      <w:r>
        <w:rPr>
          <w:bCs/>
          <w:sz w:val="22"/>
        </w:rPr>
        <w:t xml:space="preserve">Сведения </w:t>
      </w:r>
    </w:p>
    <w:p w14:paraId="243859A6">
      <w:pPr>
        <w:jc w:val="center"/>
        <w:rPr>
          <w:bCs/>
          <w:sz w:val="22"/>
        </w:rPr>
      </w:pPr>
      <w:r>
        <w:rPr>
          <w:bCs/>
          <w:sz w:val="22"/>
        </w:rPr>
        <w:t xml:space="preserve">о выявленных фактах недостоверности сведений, представленных в территориальную избирательную комиссию_________________________ кандидатами </w:t>
      </w:r>
    </w:p>
    <w:p w14:paraId="20D3EBEC">
      <w:pPr>
        <w:jc w:val="center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                 (наименование комиссии)</w:t>
      </w:r>
    </w:p>
    <w:p w14:paraId="7D0E70EB">
      <w:pPr>
        <w:shd w:val="clear" w:color="auto" w:fill="FFFFFF"/>
        <w:ind w:right="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 проведении выборов депутатов </w:t>
      </w:r>
    </w:p>
    <w:p w14:paraId="2E0EE810">
      <w:pPr>
        <w:shd w:val="clear" w:color="auto" w:fill="FFFFFF"/>
        <w:ind w:right="34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  _____ </w:t>
      </w:r>
      <w:r>
        <w:rPr>
          <w:bCs/>
          <w:sz w:val="24"/>
          <w:szCs w:val="24"/>
        </w:rPr>
        <w:t>созыва</w:t>
      </w:r>
    </w:p>
    <w:p w14:paraId="0CE97346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(наименование представительного органа муниципального образования)   (номер)</w:t>
      </w:r>
    </w:p>
    <w:p w14:paraId="72F80683">
      <w:pPr>
        <w:rPr>
          <w:bCs/>
          <w:sz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9"/>
        <w:gridCol w:w="2336"/>
        <w:gridCol w:w="1388"/>
        <w:gridCol w:w="2335"/>
        <w:gridCol w:w="1296"/>
        <w:gridCol w:w="1667"/>
      </w:tblGrid>
      <w:tr w14:paraId="5F24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301ED7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2462" w:type="dxa"/>
          </w:tcPr>
          <w:p w14:paraId="2A4722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388" w:type="dxa"/>
          </w:tcPr>
          <w:p w14:paraId="060E4A8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Субъект выдвижения</w:t>
            </w:r>
          </w:p>
        </w:tc>
        <w:tc>
          <w:tcPr>
            <w:tcW w:w="2444" w:type="dxa"/>
          </w:tcPr>
          <w:p w14:paraId="6D4E81F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Представлено зарегистрированным кандидатом</w:t>
            </w:r>
          </w:p>
        </w:tc>
        <w:tc>
          <w:tcPr>
            <w:tcW w:w="1318" w:type="dxa"/>
          </w:tcPr>
          <w:p w14:paraId="77DC1D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Результаты проверки</w:t>
            </w:r>
          </w:p>
        </w:tc>
        <w:tc>
          <w:tcPr>
            <w:tcW w:w="1690" w:type="dxa"/>
          </w:tcPr>
          <w:p w14:paraId="526DF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Организация представившая информацию</w:t>
            </w:r>
          </w:p>
        </w:tc>
      </w:tr>
      <w:tr w14:paraId="757B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2338EB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462" w:type="dxa"/>
          </w:tcPr>
          <w:p w14:paraId="59B798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88" w:type="dxa"/>
          </w:tcPr>
          <w:p w14:paraId="7370E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444" w:type="dxa"/>
          </w:tcPr>
          <w:p w14:paraId="4C983A6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18" w:type="dxa"/>
          </w:tcPr>
          <w:p w14:paraId="070584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690" w:type="dxa"/>
          </w:tcPr>
          <w:p w14:paraId="79BD7D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14:paraId="077E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55" w:type="dxa"/>
            <w:gridSpan w:val="7"/>
          </w:tcPr>
          <w:p w14:paraId="148683E5">
            <w:pPr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 xml:space="preserve">Фамилия, имя, отчество        </w:t>
            </w:r>
          </w:p>
        </w:tc>
      </w:tr>
      <w:tr w14:paraId="7464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1FFB773A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0D19A10C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2B440CF2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6CB1739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6EACFD63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7D81B75F">
            <w:pPr>
              <w:jc w:val="center"/>
              <w:rPr>
                <w:sz w:val="22"/>
              </w:rPr>
            </w:pPr>
          </w:p>
        </w:tc>
      </w:tr>
      <w:tr w14:paraId="52C9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55" w:type="dxa"/>
            <w:gridSpan w:val="7"/>
          </w:tcPr>
          <w:p w14:paraId="56533FF3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Сведения о дате и месте рождения</w:t>
            </w:r>
          </w:p>
        </w:tc>
      </w:tr>
      <w:tr w14:paraId="584A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0E49C965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3FBFE702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400DFDDC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73D0BB5C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29B09B7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77497640">
            <w:pPr>
              <w:jc w:val="center"/>
              <w:rPr>
                <w:sz w:val="22"/>
              </w:rPr>
            </w:pPr>
          </w:p>
        </w:tc>
      </w:tr>
      <w:tr w14:paraId="1C1A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55" w:type="dxa"/>
            <w:gridSpan w:val="7"/>
          </w:tcPr>
          <w:p w14:paraId="3C54CBC8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Сведения о  месте жительства (наименование субъекта Российской Федерации, района, города, иного населенного пункта)</w:t>
            </w:r>
          </w:p>
        </w:tc>
      </w:tr>
      <w:tr w14:paraId="19E4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40B7390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50143A01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33021E7E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7358915A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27CD11C6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012F97F3">
            <w:pPr>
              <w:jc w:val="center"/>
              <w:rPr>
                <w:sz w:val="22"/>
              </w:rPr>
            </w:pPr>
          </w:p>
        </w:tc>
      </w:tr>
      <w:tr w14:paraId="176C8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55" w:type="dxa"/>
            <w:gridSpan w:val="7"/>
          </w:tcPr>
          <w:p w14:paraId="7EC645B1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Сведения о профессиональном  образовании</w:t>
            </w:r>
          </w:p>
        </w:tc>
      </w:tr>
      <w:tr w14:paraId="457E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391E929E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64EB7F07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39752242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5DB01B56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48159885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7F88FDD4">
            <w:pPr>
              <w:jc w:val="center"/>
              <w:rPr>
                <w:sz w:val="22"/>
              </w:rPr>
            </w:pPr>
          </w:p>
        </w:tc>
      </w:tr>
      <w:tr w14:paraId="76B6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55" w:type="dxa"/>
            <w:gridSpan w:val="7"/>
          </w:tcPr>
          <w:p w14:paraId="28D461BF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Сведения об основном месте работы (службы), должности (роде занятий)</w:t>
            </w:r>
          </w:p>
        </w:tc>
      </w:tr>
      <w:tr w14:paraId="0845B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5809DCCE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0D68B038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043CFE9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330044DE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2C5EDA35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4DE5E9C3">
            <w:pPr>
              <w:jc w:val="center"/>
              <w:rPr>
                <w:sz w:val="22"/>
              </w:rPr>
            </w:pPr>
          </w:p>
        </w:tc>
      </w:tr>
      <w:tr w14:paraId="02D38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753444EC">
            <w:pPr>
              <w:jc w:val="center"/>
              <w:rPr>
                <w:sz w:val="22"/>
              </w:rPr>
            </w:pPr>
          </w:p>
        </w:tc>
        <w:tc>
          <w:tcPr>
            <w:tcW w:w="9302" w:type="dxa"/>
            <w:gridSpan w:val="5"/>
          </w:tcPr>
          <w:p w14:paraId="714518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Сведения о принадлежности и статусе кандидата в политической партии либо в ином общественном объединении</w:t>
            </w:r>
          </w:p>
        </w:tc>
      </w:tr>
      <w:tr w14:paraId="239B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086B362F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140A4B66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69FB3380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64F3B3F1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744AFF10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7C27F2D5">
            <w:pPr>
              <w:jc w:val="center"/>
              <w:rPr>
                <w:sz w:val="22"/>
              </w:rPr>
            </w:pPr>
          </w:p>
        </w:tc>
      </w:tr>
      <w:tr w14:paraId="46591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55" w:type="dxa"/>
            <w:gridSpan w:val="7"/>
          </w:tcPr>
          <w:p w14:paraId="2C800553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Сведения о судимости</w:t>
            </w:r>
          </w:p>
        </w:tc>
      </w:tr>
      <w:tr w14:paraId="68D7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62BDFBD5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2D7308F9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312C1632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035C388F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03F288DD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0A7941A2">
            <w:pPr>
              <w:jc w:val="center"/>
              <w:rPr>
                <w:sz w:val="22"/>
              </w:rPr>
            </w:pPr>
          </w:p>
        </w:tc>
      </w:tr>
      <w:tr w14:paraId="59B1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55" w:type="dxa"/>
            <w:gridSpan w:val="7"/>
          </w:tcPr>
          <w:p w14:paraId="31064C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Сведения о наличии статуса кандидата, являющегося иностранным агентом, либо кандидата, аффилированного с иностранным агентом</w:t>
            </w:r>
          </w:p>
        </w:tc>
      </w:tr>
      <w:tr w14:paraId="7F079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0D6241A5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0D7D13B6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1269EC82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04A30455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7CE9E0D4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33632ECF">
            <w:pPr>
              <w:jc w:val="center"/>
              <w:rPr>
                <w:sz w:val="22"/>
              </w:rPr>
            </w:pPr>
          </w:p>
        </w:tc>
      </w:tr>
      <w:tr w14:paraId="2DC7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9855" w:type="dxa"/>
            <w:gridSpan w:val="7"/>
          </w:tcPr>
          <w:p w14:paraId="6126EFB7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Доходы</w:t>
            </w:r>
          </w:p>
        </w:tc>
      </w:tr>
      <w:tr w14:paraId="01895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</w:trPr>
        <w:tc>
          <w:tcPr>
            <w:tcW w:w="533" w:type="dxa"/>
          </w:tcPr>
          <w:p w14:paraId="4EFCF897">
            <w:pPr>
              <w:jc w:val="center"/>
              <w:rPr>
                <w:bCs/>
                <w:sz w:val="22"/>
              </w:rPr>
            </w:pPr>
          </w:p>
        </w:tc>
        <w:tc>
          <w:tcPr>
            <w:tcW w:w="2482" w:type="dxa"/>
            <w:gridSpan w:val="2"/>
          </w:tcPr>
          <w:p w14:paraId="59D9A906">
            <w:pPr>
              <w:jc w:val="center"/>
              <w:rPr>
                <w:bCs/>
                <w:sz w:val="22"/>
              </w:rPr>
            </w:pPr>
          </w:p>
        </w:tc>
        <w:tc>
          <w:tcPr>
            <w:tcW w:w="1388" w:type="dxa"/>
          </w:tcPr>
          <w:p w14:paraId="0E3621CD">
            <w:pPr>
              <w:jc w:val="center"/>
              <w:rPr>
                <w:bCs/>
                <w:sz w:val="22"/>
              </w:rPr>
            </w:pPr>
          </w:p>
        </w:tc>
        <w:tc>
          <w:tcPr>
            <w:tcW w:w="2444" w:type="dxa"/>
          </w:tcPr>
          <w:p w14:paraId="4DBB680C">
            <w:pPr>
              <w:jc w:val="center"/>
              <w:rPr>
                <w:bCs/>
                <w:sz w:val="22"/>
              </w:rPr>
            </w:pPr>
          </w:p>
        </w:tc>
        <w:tc>
          <w:tcPr>
            <w:tcW w:w="1318" w:type="dxa"/>
          </w:tcPr>
          <w:p w14:paraId="29938581">
            <w:pPr>
              <w:jc w:val="center"/>
              <w:rPr>
                <w:bCs/>
                <w:sz w:val="22"/>
              </w:rPr>
            </w:pPr>
          </w:p>
        </w:tc>
        <w:tc>
          <w:tcPr>
            <w:tcW w:w="1690" w:type="dxa"/>
          </w:tcPr>
          <w:p w14:paraId="1B7563FB">
            <w:pPr>
              <w:jc w:val="center"/>
              <w:rPr>
                <w:bCs/>
                <w:sz w:val="22"/>
              </w:rPr>
            </w:pPr>
          </w:p>
        </w:tc>
      </w:tr>
      <w:tr w14:paraId="184D6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gridSpan w:val="7"/>
          </w:tcPr>
          <w:p w14:paraId="0DE4A9A9">
            <w:pPr>
              <w:jc w:val="center"/>
              <w:rPr>
                <w:i/>
                <w:iCs/>
                <w:sz w:val="22"/>
              </w:rPr>
            </w:pPr>
            <w:r>
              <w:rPr>
                <w:bCs/>
                <w:sz w:val="22"/>
              </w:rPr>
              <w:t>Недвижимое имущество</w:t>
            </w:r>
          </w:p>
        </w:tc>
      </w:tr>
      <w:tr w14:paraId="5243D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6DABC19F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712FE768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55CD85EE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4897CCC2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02970B64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779CB7CB">
            <w:pPr>
              <w:jc w:val="center"/>
              <w:rPr>
                <w:sz w:val="22"/>
              </w:rPr>
            </w:pPr>
          </w:p>
        </w:tc>
      </w:tr>
      <w:tr w14:paraId="5FD28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55" w:type="dxa"/>
            <w:gridSpan w:val="7"/>
          </w:tcPr>
          <w:p w14:paraId="0F9B9C94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Транспортные средства </w:t>
            </w:r>
          </w:p>
        </w:tc>
      </w:tr>
      <w:tr w14:paraId="61FA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2A70417C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2F8CECF1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4C6AAA8C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331DA443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13336B4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36A7E4A1">
            <w:pPr>
              <w:jc w:val="center"/>
              <w:rPr>
                <w:sz w:val="22"/>
              </w:rPr>
            </w:pPr>
          </w:p>
        </w:tc>
      </w:tr>
      <w:tr w14:paraId="7B633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9855" w:type="dxa"/>
            <w:gridSpan w:val="7"/>
          </w:tcPr>
          <w:p w14:paraId="6AB6A19F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Денежные средства и драгоценные металлы, находящиеся на счетах (во вкладах) в банках  </w:t>
            </w:r>
          </w:p>
        </w:tc>
      </w:tr>
      <w:tr w14:paraId="703E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gridSpan w:val="2"/>
          </w:tcPr>
          <w:p w14:paraId="28D30BAF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43740A52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55BCCC25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46F097E9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170091C6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0BE52164">
            <w:pPr>
              <w:jc w:val="center"/>
              <w:rPr>
                <w:sz w:val="22"/>
              </w:rPr>
            </w:pPr>
          </w:p>
        </w:tc>
      </w:tr>
      <w:tr w14:paraId="38877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55" w:type="dxa"/>
            <w:gridSpan w:val="7"/>
          </w:tcPr>
          <w:p w14:paraId="2D6FE3EB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Акции, иные ценные бумаги и иное участие в коммерческих организациях</w:t>
            </w:r>
          </w:p>
        </w:tc>
      </w:tr>
      <w:tr w14:paraId="0955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53" w:type="dxa"/>
            <w:gridSpan w:val="2"/>
          </w:tcPr>
          <w:p w14:paraId="3F3FB6CB">
            <w:pPr>
              <w:rPr>
                <w:sz w:val="22"/>
              </w:rPr>
            </w:pPr>
          </w:p>
        </w:tc>
        <w:tc>
          <w:tcPr>
            <w:tcW w:w="2462" w:type="dxa"/>
          </w:tcPr>
          <w:p w14:paraId="0A5468FC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634C39DA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7E5443C6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01B8EC22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2E4788BA">
            <w:pPr>
              <w:jc w:val="center"/>
              <w:rPr>
                <w:sz w:val="22"/>
              </w:rPr>
            </w:pPr>
          </w:p>
        </w:tc>
      </w:tr>
      <w:tr w14:paraId="2E72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855" w:type="dxa"/>
            <w:gridSpan w:val="7"/>
          </w:tcPr>
          <w:p w14:paraId="21BEC40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Иные сведения</w:t>
            </w:r>
          </w:p>
        </w:tc>
      </w:tr>
      <w:tr w14:paraId="721F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53" w:type="dxa"/>
            <w:gridSpan w:val="2"/>
          </w:tcPr>
          <w:p w14:paraId="02DB93A4">
            <w:pPr>
              <w:rPr>
                <w:sz w:val="22"/>
              </w:rPr>
            </w:pPr>
          </w:p>
        </w:tc>
        <w:tc>
          <w:tcPr>
            <w:tcW w:w="2462" w:type="dxa"/>
          </w:tcPr>
          <w:p w14:paraId="3CBBB566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082AD417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6E172C27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0A05BE0C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195878CD">
            <w:pPr>
              <w:jc w:val="center"/>
              <w:rPr>
                <w:sz w:val="22"/>
              </w:rPr>
            </w:pPr>
          </w:p>
        </w:tc>
      </w:tr>
    </w:tbl>
    <w:p w14:paraId="2BF2A6EC">
      <w:pPr>
        <w:jc w:val="center"/>
        <w:rPr>
          <w:sz w:val="26"/>
        </w:rPr>
      </w:pPr>
      <w:r>
        <w:rPr>
          <w:sz w:val="26"/>
        </w:rPr>
        <w:t>___________________________________________________________________</w:t>
      </w:r>
      <w:r>
        <w:rPr>
          <w:bCs/>
          <w:szCs w:val="24"/>
        </w:rPr>
        <w:t xml:space="preserve"> </w:t>
      </w:r>
    </w:p>
    <w:p w14:paraId="16FA8594">
      <w:pPr>
        <w:rPr>
          <w:sz w:val="26"/>
        </w:rPr>
      </w:pPr>
      <w:r>
        <w:rPr>
          <w:sz w:val="22"/>
        </w:rPr>
        <w:t>1. В таблице указываются сведения только в отношении тех кандидатов, у которых обнаружены какие-либо несоответствия или недостоверность в представленных сведениях.</w:t>
      </w:r>
    </w:p>
    <w:p w14:paraId="23E32A14">
      <w:pPr>
        <w:rPr>
          <w:sz w:val="22"/>
        </w:rPr>
      </w:pPr>
      <w:r>
        <w:rPr>
          <w:sz w:val="22"/>
        </w:rPr>
        <w:t>2. Сведения о кандидатах группируются по разделам. Например: в раздел "доходы" включаются все кандидаты, у которых обнаружены какие-либо несоответствия или недостоверность в представленных сведениях.</w:t>
      </w:r>
    </w:p>
    <w:p w14:paraId="5CD1F44A">
      <w:pPr>
        <w:rPr>
          <w:sz w:val="22"/>
        </w:rPr>
      </w:pPr>
      <w:r>
        <w:rPr>
          <w:sz w:val="22"/>
        </w:rPr>
        <w:t>3. Сведения о кандидатах, включенных в зарегистрированные единые списки кандидатов, группируются отдельно по каждому избирательному объединению.</w:t>
      </w:r>
    </w:p>
    <w:p w14:paraId="7D95AF78">
      <w:pPr>
        <w:rPr>
          <w:sz w:val="22"/>
        </w:rPr>
      </w:pPr>
      <w:r>
        <w:rPr>
          <w:sz w:val="22"/>
        </w:rPr>
        <w:t>4. Сведения о кандидатах по каждому одномандатному избирательному округу формируются отдельно.</w:t>
      </w:r>
    </w:p>
    <w:p w14:paraId="727980B5">
      <w:pPr>
        <w:rPr>
          <w:sz w:val="22"/>
        </w:rPr>
      </w:pPr>
    </w:p>
    <w:p w14:paraId="3A4B922C">
      <w:pPr>
        <w:rPr>
          <w:sz w:val="22"/>
        </w:rPr>
      </w:pPr>
    </w:p>
    <w:sectPr>
      <w:pgSz w:w="11906" w:h="16838"/>
      <w:pgMar w:top="567" w:right="850" w:bottom="568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40" w:lineRule="auto"/>
      </w:pPr>
      <w:r>
        <w:separator/>
      </w:r>
    </w:p>
  </w:footnote>
  <w:footnote w:type="continuationSeparator" w:id="3">
    <w:p>
      <w:pPr>
        <w:spacing w:before="0" w:after="0" w:line="240" w:lineRule="auto"/>
      </w:pPr>
      <w:r>
        <w:continuationSeparator/>
      </w:r>
    </w:p>
  </w:footnote>
  <w:footnote w:id="0">
    <w:p w14:paraId="6AD987CD">
      <w:pPr>
        <w:pStyle w:val="14"/>
        <w:rPr>
          <w:color w:val="FF0000"/>
        </w:rPr>
      </w:pPr>
      <w:r>
        <w:rPr>
          <w:rStyle w:val="9"/>
          <w:color w:val="FF0000"/>
        </w:rPr>
        <w:footnoteRef/>
      </w:r>
      <w:r>
        <w:rPr>
          <w:color w:val="FF0000"/>
        </w:rPr>
        <w:t xml:space="preserve"> Объем сведений о кандидате может быть расширен: об ученой степени, ученых званиях, о семейном положении, наличии детей.</w:t>
      </w:r>
    </w:p>
    <w:p w14:paraId="363BC147">
      <w:pPr>
        <w:pStyle w:val="1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08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61981"/>
    <w:rsid w:val="00000836"/>
    <w:rsid w:val="00005700"/>
    <w:rsid w:val="00033000"/>
    <w:rsid w:val="00042B2C"/>
    <w:rsid w:val="000560FC"/>
    <w:rsid w:val="00065104"/>
    <w:rsid w:val="00075EC0"/>
    <w:rsid w:val="0009479C"/>
    <w:rsid w:val="0009497E"/>
    <w:rsid w:val="00096DF9"/>
    <w:rsid w:val="000B3263"/>
    <w:rsid w:val="000B5181"/>
    <w:rsid w:val="000C43B9"/>
    <w:rsid w:val="000C6BDE"/>
    <w:rsid w:val="000D5D7A"/>
    <w:rsid w:val="000E01A3"/>
    <w:rsid w:val="0011653B"/>
    <w:rsid w:val="001256D2"/>
    <w:rsid w:val="00142071"/>
    <w:rsid w:val="001502B5"/>
    <w:rsid w:val="001665FC"/>
    <w:rsid w:val="00167CCA"/>
    <w:rsid w:val="00172E9D"/>
    <w:rsid w:val="001801A1"/>
    <w:rsid w:val="00181233"/>
    <w:rsid w:val="00182690"/>
    <w:rsid w:val="00197884"/>
    <w:rsid w:val="001A16D5"/>
    <w:rsid w:val="001B04D1"/>
    <w:rsid w:val="001B1460"/>
    <w:rsid w:val="001B3A6F"/>
    <w:rsid w:val="001D49D4"/>
    <w:rsid w:val="001E7217"/>
    <w:rsid w:val="00206194"/>
    <w:rsid w:val="00211E60"/>
    <w:rsid w:val="00214A64"/>
    <w:rsid w:val="00217464"/>
    <w:rsid w:val="002227C7"/>
    <w:rsid w:val="00251613"/>
    <w:rsid w:val="0026104A"/>
    <w:rsid w:val="00261981"/>
    <w:rsid w:val="00263CD8"/>
    <w:rsid w:val="00271529"/>
    <w:rsid w:val="00272718"/>
    <w:rsid w:val="00283267"/>
    <w:rsid w:val="00290F3F"/>
    <w:rsid w:val="002943AE"/>
    <w:rsid w:val="002B0177"/>
    <w:rsid w:val="002B7125"/>
    <w:rsid w:val="002C5DCB"/>
    <w:rsid w:val="002D39BD"/>
    <w:rsid w:val="002D691B"/>
    <w:rsid w:val="003153FF"/>
    <w:rsid w:val="00340085"/>
    <w:rsid w:val="00352A81"/>
    <w:rsid w:val="003556E5"/>
    <w:rsid w:val="00356F47"/>
    <w:rsid w:val="0039494D"/>
    <w:rsid w:val="003A062F"/>
    <w:rsid w:val="003A2BD1"/>
    <w:rsid w:val="003D1B7B"/>
    <w:rsid w:val="003D6FC4"/>
    <w:rsid w:val="003E77DA"/>
    <w:rsid w:val="003F1881"/>
    <w:rsid w:val="003F3059"/>
    <w:rsid w:val="00402CAA"/>
    <w:rsid w:val="00406CEF"/>
    <w:rsid w:val="0040722E"/>
    <w:rsid w:val="00410A1A"/>
    <w:rsid w:val="0041360B"/>
    <w:rsid w:val="00414D88"/>
    <w:rsid w:val="00427AC5"/>
    <w:rsid w:val="004379DD"/>
    <w:rsid w:val="00440A45"/>
    <w:rsid w:val="00446226"/>
    <w:rsid w:val="00450E4E"/>
    <w:rsid w:val="0046603B"/>
    <w:rsid w:val="004675E8"/>
    <w:rsid w:val="004704D1"/>
    <w:rsid w:val="00474707"/>
    <w:rsid w:val="00480E0A"/>
    <w:rsid w:val="00482DC2"/>
    <w:rsid w:val="00485002"/>
    <w:rsid w:val="004A0117"/>
    <w:rsid w:val="004B46BF"/>
    <w:rsid w:val="004B697E"/>
    <w:rsid w:val="004C0388"/>
    <w:rsid w:val="004C29CB"/>
    <w:rsid w:val="004C4C16"/>
    <w:rsid w:val="004C7BD9"/>
    <w:rsid w:val="004D05ED"/>
    <w:rsid w:val="004E1AB2"/>
    <w:rsid w:val="004E3F80"/>
    <w:rsid w:val="004F5706"/>
    <w:rsid w:val="00503D11"/>
    <w:rsid w:val="005216FE"/>
    <w:rsid w:val="00524412"/>
    <w:rsid w:val="00531F0E"/>
    <w:rsid w:val="00543C5E"/>
    <w:rsid w:val="00547706"/>
    <w:rsid w:val="0055644F"/>
    <w:rsid w:val="005668E6"/>
    <w:rsid w:val="00581E41"/>
    <w:rsid w:val="0058463C"/>
    <w:rsid w:val="00585B2C"/>
    <w:rsid w:val="005938E2"/>
    <w:rsid w:val="005A44B7"/>
    <w:rsid w:val="005B105A"/>
    <w:rsid w:val="005B262A"/>
    <w:rsid w:val="005C5DAB"/>
    <w:rsid w:val="005F67FC"/>
    <w:rsid w:val="00600FF2"/>
    <w:rsid w:val="00603AE3"/>
    <w:rsid w:val="00603E66"/>
    <w:rsid w:val="0060529A"/>
    <w:rsid w:val="00607C37"/>
    <w:rsid w:val="006252C8"/>
    <w:rsid w:val="00630BA1"/>
    <w:rsid w:val="00641374"/>
    <w:rsid w:val="0067764C"/>
    <w:rsid w:val="00683DB0"/>
    <w:rsid w:val="00687AAD"/>
    <w:rsid w:val="006911A3"/>
    <w:rsid w:val="006A494E"/>
    <w:rsid w:val="006B739B"/>
    <w:rsid w:val="006D23F6"/>
    <w:rsid w:val="007251C1"/>
    <w:rsid w:val="00746104"/>
    <w:rsid w:val="00756FAF"/>
    <w:rsid w:val="0079254B"/>
    <w:rsid w:val="00793F63"/>
    <w:rsid w:val="00796A41"/>
    <w:rsid w:val="007A2A90"/>
    <w:rsid w:val="007A42CA"/>
    <w:rsid w:val="007A6545"/>
    <w:rsid w:val="007C160E"/>
    <w:rsid w:val="007C4437"/>
    <w:rsid w:val="007E3882"/>
    <w:rsid w:val="007F5237"/>
    <w:rsid w:val="00810016"/>
    <w:rsid w:val="00817072"/>
    <w:rsid w:val="0081783B"/>
    <w:rsid w:val="00834EA8"/>
    <w:rsid w:val="0083647D"/>
    <w:rsid w:val="008624A7"/>
    <w:rsid w:val="0087387D"/>
    <w:rsid w:val="00882256"/>
    <w:rsid w:val="00887577"/>
    <w:rsid w:val="008935ED"/>
    <w:rsid w:val="0089545C"/>
    <w:rsid w:val="008A3036"/>
    <w:rsid w:val="008B48CF"/>
    <w:rsid w:val="008C4F90"/>
    <w:rsid w:val="008D566B"/>
    <w:rsid w:val="008E7B02"/>
    <w:rsid w:val="00907623"/>
    <w:rsid w:val="00914982"/>
    <w:rsid w:val="00922B4B"/>
    <w:rsid w:val="009307CC"/>
    <w:rsid w:val="00940DB4"/>
    <w:rsid w:val="0094655F"/>
    <w:rsid w:val="00952E6B"/>
    <w:rsid w:val="009662CA"/>
    <w:rsid w:val="0096631A"/>
    <w:rsid w:val="00984000"/>
    <w:rsid w:val="00984B44"/>
    <w:rsid w:val="00994912"/>
    <w:rsid w:val="009A1DC6"/>
    <w:rsid w:val="009B47E1"/>
    <w:rsid w:val="009B60C0"/>
    <w:rsid w:val="009D1C16"/>
    <w:rsid w:val="009E3CA3"/>
    <w:rsid w:val="00A03069"/>
    <w:rsid w:val="00A04514"/>
    <w:rsid w:val="00A1396A"/>
    <w:rsid w:val="00A22CE8"/>
    <w:rsid w:val="00A240D2"/>
    <w:rsid w:val="00A317D4"/>
    <w:rsid w:val="00A42C13"/>
    <w:rsid w:val="00A44213"/>
    <w:rsid w:val="00A553D6"/>
    <w:rsid w:val="00A64F35"/>
    <w:rsid w:val="00A675F5"/>
    <w:rsid w:val="00A75EBB"/>
    <w:rsid w:val="00A96F5B"/>
    <w:rsid w:val="00AA4156"/>
    <w:rsid w:val="00AD5696"/>
    <w:rsid w:val="00AE5A49"/>
    <w:rsid w:val="00AF593B"/>
    <w:rsid w:val="00B1408A"/>
    <w:rsid w:val="00B15CEC"/>
    <w:rsid w:val="00B546E0"/>
    <w:rsid w:val="00B56BC9"/>
    <w:rsid w:val="00B90684"/>
    <w:rsid w:val="00B96BB1"/>
    <w:rsid w:val="00BB1FF9"/>
    <w:rsid w:val="00BC34A0"/>
    <w:rsid w:val="00BC3523"/>
    <w:rsid w:val="00BC4D9B"/>
    <w:rsid w:val="00BD5038"/>
    <w:rsid w:val="00BF2845"/>
    <w:rsid w:val="00C07855"/>
    <w:rsid w:val="00C21FA1"/>
    <w:rsid w:val="00C263C1"/>
    <w:rsid w:val="00C3352B"/>
    <w:rsid w:val="00C44016"/>
    <w:rsid w:val="00C64B2C"/>
    <w:rsid w:val="00C65B74"/>
    <w:rsid w:val="00C716CC"/>
    <w:rsid w:val="00C73958"/>
    <w:rsid w:val="00C74430"/>
    <w:rsid w:val="00C851DE"/>
    <w:rsid w:val="00CA14C0"/>
    <w:rsid w:val="00CA33FF"/>
    <w:rsid w:val="00CC5EBB"/>
    <w:rsid w:val="00CD52AE"/>
    <w:rsid w:val="00CE4676"/>
    <w:rsid w:val="00CF6F2E"/>
    <w:rsid w:val="00D032E8"/>
    <w:rsid w:val="00D17D65"/>
    <w:rsid w:val="00D32735"/>
    <w:rsid w:val="00D36A24"/>
    <w:rsid w:val="00D36DFA"/>
    <w:rsid w:val="00D4160A"/>
    <w:rsid w:val="00D5247D"/>
    <w:rsid w:val="00D54CC9"/>
    <w:rsid w:val="00D578D2"/>
    <w:rsid w:val="00D6193E"/>
    <w:rsid w:val="00D802C6"/>
    <w:rsid w:val="00D8320D"/>
    <w:rsid w:val="00D90C24"/>
    <w:rsid w:val="00DA462C"/>
    <w:rsid w:val="00DB335B"/>
    <w:rsid w:val="00DC43AC"/>
    <w:rsid w:val="00DD0EA3"/>
    <w:rsid w:val="00DD2F27"/>
    <w:rsid w:val="00DE00C5"/>
    <w:rsid w:val="00DE3B6E"/>
    <w:rsid w:val="00DF40B0"/>
    <w:rsid w:val="00E00484"/>
    <w:rsid w:val="00E065E8"/>
    <w:rsid w:val="00E174B6"/>
    <w:rsid w:val="00E30A76"/>
    <w:rsid w:val="00E35653"/>
    <w:rsid w:val="00E44914"/>
    <w:rsid w:val="00E56FAB"/>
    <w:rsid w:val="00E60800"/>
    <w:rsid w:val="00E6346C"/>
    <w:rsid w:val="00E65A2B"/>
    <w:rsid w:val="00E80F87"/>
    <w:rsid w:val="00E8204E"/>
    <w:rsid w:val="00E83B86"/>
    <w:rsid w:val="00E842B1"/>
    <w:rsid w:val="00E86C16"/>
    <w:rsid w:val="00E94740"/>
    <w:rsid w:val="00E95225"/>
    <w:rsid w:val="00EB2162"/>
    <w:rsid w:val="00EB26B0"/>
    <w:rsid w:val="00EB79C8"/>
    <w:rsid w:val="00EC0377"/>
    <w:rsid w:val="00EC446F"/>
    <w:rsid w:val="00EE4CFB"/>
    <w:rsid w:val="00F338C5"/>
    <w:rsid w:val="00F518C2"/>
    <w:rsid w:val="00FA1B8F"/>
    <w:rsid w:val="00FA316B"/>
    <w:rsid w:val="00FA3373"/>
    <w:rsid w:val="00FD127A"/>
    <w:rsid w:val="00FF44A8"/>
    <w:rsid w:val="0ABD08E7"/>
    <w:rsid w:val="7FCB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uiPriority="99" w:semiHidden="0" w:name="Body Text Indent 2"/>
    <w:lsdException w:qFormat="1" w:uiPriority="99" w:semiHidden="0" w:name="Body Text Indent 3"/>
    <w:lsdException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2"/>
      <w:lang w:val="ru-RU" w:eastAsia="en-US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Cs w:val="28"/>
    </w:rPr>
  </w:style>
  <w:style w:type="paragraph" w:styleId="3">
    <w:name w:val="heading 2"/>
    <w:basedOn w:val="1"/>
    <w:next w:val="1"/>
    <w:link w:val="34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35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6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otnote reference"/>
    <w:basedOn w:val="7"/>
    <w:semiHidden/>
    <w:qFormat/>
    <w:uiPriority w:val="99"/>
    <w:rPr>
      <w:rFonts w:cs="Times New Roman"/>
      <w:vertAlign w:val="superscript"/>
    </w:rPr>
  </w:style>
  <w:style w:type="character" w:styleId="10">
    <w:name w:val="endnote reference"/>
    <w:basedOn w:val="7"/>
    <w:semiHidden/>
    <w:unhideWhenUsed/>
    <w:qFormat/>
    <w:uiPriority w:val="99"/>
    <w:rPr>
      <w:vertAlign w:val="superscript"/>
    </w:rPr>
  </w:style>
  <w:style w:type="paragraph" w:styleId="11">
    <w:name w:val="Body Text 2"/>
    <w:basedOn w:val="1"/>
    <w:link w:val="39"/>
    <w:semiHidden/>
    <w:unhideWhenUsed/>
    <w:qFormat/>
    <w:uiPriority w:val="99"/>
    <w:pPr>
      <w:widowControl w:val="0"/>
      <w:shd w:val="clear" w:color="auto" w:fill="FFFFFF"/>
      <w:overflowPunct w:val="0"/>
      <w:autoSpaceDE w:val="0"/>
      <w:autoSpaceDN w:val="0"/>
      <w:adjustRightInd w:val="0"/>
      <w:spacing w:after="120" w:line="480" w:lineRule="auto"/>
      <w:ind w:firstLine="709"/>
      <w:textAlignment w:val="baseline"/>
    </w:pPr>
    <w:rPr>
      <w:sz w:val="22"/>
      <w:szCs w:val="20"/>
    </w:rPr>
  </w:style>
  <w:style w:type="paragraph" w:styleId="12">
    <w:name w:val="Body Text Indent 3"/>
    <w:basedOn w:val="1"/>
    <w:link w:val="38"/>
    <w:unhideWhenUsed/>
    <w:qFormat/>
    <w:uiPriority w:val="99"/>
    <w:pPr>
      <w:widowControl w:val="0"/>
      <w:shd w:val="clear" w:color="auto" w:fill="FFFFFF"/>
      <w:overflowPunct w:val="0"/>
      <w:autoSpaceDE w:val="0"/>
      <w:autoSpaceDN w:val="0"/>
      <w:adjustRightInd w:val="0"/>
      <w:spacing w:after="120"/>
      <w:ind w:left="283" w:firstLine="709"/>
      <w:textAlignment w:val="baseline"/>
    </w:pPr>
    <w:rPr>
      <w:sz w:val="16"/>
      <w:szCs w:val="16"/>
    </w:rPr>
  </w:style>
  <w:style w:type="paragraph" w:styleId="13">
    <w:name w:val="endnote text"/>
    <w:basedOn w:val="1"/>
    <w:link w:val="41"/>
    <w:semiHidden/>
    <w:unhideWhenUsed/>
    <w:uiPriority w:val="99"/>
    <w:rPr>
      <w:sz w:val="20"/>
      <w:szCs w:val="20"/>
    </w:rPr>
  </w:style>
  <w:style w:type="paragraph" w:styleId="14">
    <w:name w:val="footnote text"/>
    <w:basedOn w:val="1"/>
    <w:link w:val="37"/>
    <w:semiHidden/>
    <w:qFormat/>
    <w:uiPriority w:val="99"/>
    <w:rPr>
      <w:sz w:val="20"/>
      <w:szCs w:val="20"/>
      <w:lang w:eastAsia="ru-RU"/>
    </w:rPr>
  </w:style>
  <w:style w:type="paragraph" w:styleId="15">
    <w:name w:val="Body Text"/>
    <w:basedOn w:val="1"/>
    <w:link w:val="26"/>
    <w:unhideWhenUsed/>
    <w:qFormat/>
    <w:uiPriority w:val="99"/>
    <w:pPr>
      <w:spacing w:after="120"/>
    </w:pPr>
  </w:style>
  <w:style w:type="paragraph" w:styleId="16">
    <w:name w:val="Body Text Indent"/>
    <w:basedOn w:val="1"/>
    <w:link w:val="23"/>
    <w:qFormat/>
    <w:uiPriority w:val="0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paragraph" w:styleId="17">
    <w:name w:val="Title"/>
    <w:basedOn w:val="1"/>
    <w:link w:val="22"/>
    <w:qFormat/>
    <w:uiPriority w:val="0"/>
    <w:pPr>
      <w:jc w:val="center"/>
    </w:pPr>
    <w:rPr>
      <w:b/>
      <w:bCs/>
      <w:szCs w:val="28"/>
      <w:lang w:eastAsia="ru-RU"/>
    </w:rPr>
  </w:style>
  <w:style w:type="paragraph" w:styleId="18">
    <w:name w:val="Body Text 3"/>
    <w:basedOn w:val="1"/>
    <w:link w:val="36"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Body Text Indent 2"/>
    <w:basedOn w:val="1"/>
    <w:link w:val="28"/>
    <w:unhideWhenUsed/>
    <w:uiPriority w:val="99"/>
    <w:pPr>
      <w:spacing w:after="120" w:line="480" w:lineRule="auto"/>
      <w:ind w:left="283"/>
    </w:pPr>
  </w:style>
  <w:style w:type="paragraph" w:styleId="20">
    <w:name w:val="Block Text"/>
    <w:basedOn w:val="1"/>
    <w:uiPriority w:val="0"/>
    <w:pPr>
      <w:ind w:left="-42" w:right="-48" w:firstLine="851"/>
      <w:jc w:val="center"/>
    </w:pPr>
    <w:rPr>
      <w:b/>
      <w:szCs w:val="24"/>
      <w:lang w:eastAsia="ru-RU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Заголовок Знак"/>
    <w:basedOn w:val="7"/>
    <w:link w:val="17"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3">
    <w:name w:val="Основной текст с отступом Знак"/>
    <w:basedOn w:val="7"/>
    <w:link w:val="16"/>
    <w:qFormat/>
    <w:uiPriority w:val="0"/>
    <w:rPr>
      <w:rFonts w:ascii="Times New Roman" w:hAnsi="Times New Roman" w:eastAsia="Times New Roman" w:cs="Times New Roman"/>
      <w:sz w:val="28"/>
      <w:szCs w:val="20"/>
    </w:rPr>
  </w:style>
  <w:style w:type="character" w:customStyle="1" w:styleId="24">
    <w:name w:val="Заголовок 4 Знак"/>
    <w:basedOn w:val="7"/>
    <w:link w:val="5"/>
    <w:qFormat/>
    <w:uiPriority w:val="9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paragraph" w:customStyle="1" w:styleId="25">
    <w:name w:val="ОбычныЏe9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26">
    <w:name w:val="Основной текст Знак"/>
    <w:basedOn w:val="7"/>
    <w:link w:val="15"/>
    <w:uiPriority w:val="99"/>
    <w:rPr>
      <w:rFonts w:ascii="Times New Roman" w:hAnsi="Times New Roman" w:eastAsia="Times New Roman" w:cs="Times New Roman"/>
      <w:sz w:val="28"/>
    </w:rPr>
  </w:style>
  <w:style w:type="paragraph" w:customStyle="1" w:styleId="27">
    <w:name w:val="ConsNormal"/>
    <w:qFormat/>
    <w:uiPriority w:val="0"/>
    <w:pPr>
      <w:widowControl w:val="0"/>
      <w:spacing w:after="0" w:line="240" w:lineRule="auto"/>
      <w:ind w:firstLine="720"/>
    </w:pPr>
    <w:rPr>
      <w:rFonts w:ascii="Times New Roman" w:hAnsi="Times New Roman" w:eastAsia="Times New Roman" w:cs="Times New Roman"/>
      <w:snapToGrid w:val="0"/>
      <w:sz w:val="28"/>
      <w:szCs w:val="20"/>
      <w:lang w:val="ru-RU" w:eastAsia="ru-RU" w:bidi="ar-SA"/>
    </w:rPr>
  </w:style>
  <w:style w:type="character" w:customStyle="1" w:styleId="28">
    <w:name w:val="Основной текст с отступом 2 Знак"/>
    <w:basedOn w:val="7"/>
    <w:link w:val="19"/>
    <w:qFormat/>
    <w:uiPriority w:val="99"/>
    <w:rPr>
      <w:rFonts w:ascii="Times New Roman" w:hAnsi="Times New Roman" w:eastAsia="Times New Roman" w:cs="Times New Roman"/>
      <w:sz w:val="28"/>
    </w:rPr>
  </w:style>
  <w:style w:type="character" w:customStyle="1" w:styleId="29">
    <w:name w:val="Заголовок 7 Знак"/>
    <w:basedOn w:val="7"/>
    <w:link w:val="6"/>
    <w:semiHidden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8"/>
    </w:rPr>
  </w:style>
  <w:style w:type="character" w:customStyle="1" w:styleId="30">
    <w:name w:val="Заголовок 1 Знак"/>
    <w:basedOn w:val="7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customStyle="1" w:styleId="31">
    <w:name w:val="Основной текст 21"/>
    <w:basedOn w:val="1"/>
    <w:uiPriority w:val="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32">
    <w:name w:val="Цитата1"/>
    <w:basedOn w:val="1"/>
    <w:qFormat/>
    <w:uiPriority w:val="0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33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34">
    <w:name w:val="Заголовок 2 Знак"/>
    <w:basedOn w:val="7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35">
    <w:name w:val="Заголовок 3 Знак"/>
    <w:basedOn w:val="7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8"/>
    </w:rPr>
  </w:style>
  <w:style w:type="character" w:customStyle="1" w:styleId="36">
    <w:name w:val="Основной текст 3 Знак"/>
    <w:basedOn w:val="7"/>
    <w:link w:val="18"/>
    <w:semiHidden/>
    <w:qFormat/>
    <w:uiPriority w:val="99"/>
    <w:rPr>
      <w:rFonts w:ascii="Times New Roman" w:hAnsi="Times New Roman" w:eastAsia="Times New Roman" w:cs="Times New Roman"/>
      <w:sz w:val="16"/>
      <w:szCs w:val="16"/>
    </w:rPr>
  </w:style>
  <w:style w:type="character" w:customStyle="1" w:styleId="37">
    <w:name w:val="Текст сноски Знак"/>
    <w:basedOn w:val="7"/>
    <w:link w:val="14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8">
    <w:name w:val="Основной текст с отступом 3 Знак"/>
    <w:basedOn w:val="7"/>
    <w:link w:val="12"/>
    <w:qFormat/>
    <w:uiPriority w:val="99"/>
    <w:rPr>
      <w:rFonts w:ascii="Times New Roman" w:hAnsi="Times New Roman" w:eastAsia="Times New Roman" w:cs="Times New Roman"/>
      <w:sz w:val="16"/>
      <w:szCs w:val="16"/>
      <w:shd w:val="clear" w:color="auto" w:fill="FFFFFF"/>
    </w:rPr>
  </w:style>
  <w:style w:type="character" w:customStyle="1" w:styleId="39">
    <w:name w:val="Основной текст 2 Знак"/>
    <w:basedOn w:val="7"/>
    <w:link w:val="11"/>
    <w:semiHidden/>
    <w:uiPriority w:val="99"/>
    <w:rPr>
      <w:rFonts w:ascii="Times New Roman" w:hAnsi="Times New Roman" w:eastAsia="Times New Roman" w:cs="Times New Roman"/>
      <w:szCs w:val="20"/>
      <w:shd w:val="clear" w:color="auto" w:fill="FFFFFF"/>
    </w:rPr>
  </w:style>
  <w:style w:type="paragraph" w:styleId="40">
    <w:name w:val="No Spacing"/>
    <w:qFormat/>
    <w:uiPriority w:val="1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2"/>
      <w:lang w:val="ru-RU" w:eastAsia="en-US" w:bidi="ar-SA"/>
    </w:rPr>
  </w:style>
  <w:style w:type="character" w:customStyle="1" w:styleId="41">
    <w:name w:val="Текст концевой сноски Знак"/>
    <w:basedOn w:val="7"/>
    <w:link w:val="13"/>
    <w:semiHidden/>
    <w:uiPriority w:val="99"/>
    <w:rPr>
      <w:rFonts w:ascii="Times New Roman" w:hAnsi="Times New Roman" w:eastAsia="Times New Roma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57043-C308-40E5-82A7-C567941D37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2279</Words>
  <Characters>16772</Characters>
  <Lines>143</Lines>
  <Paragraphs>40</Paragraphs>
  <TotalTime>1350</TotalTime>
  <ScaleCrop>false</ScaleCrop>
  <LinksUpToDate>false</LinksUpToDate>
  <CharactersWithSpaces>19405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2018-05-29T06:24:00Z</dcterms:created>
  <dc:creator>Zakupki</dc:creator>
  <cp:lastModifiedBy>user</cp:lastModifiedBy>
  <cp:lastPrinted>2018-06-19T14:04:00Z</cp:lastPrinted>
  <dcterms:modified xsi:type="dcterms:W3CDTF">2026-07-07T09:25:48Z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eyJoZGlkIjoiZWU4YzYxNTc4NWZiNTIxNmQ3NmY0MzQzM2EyZDViYWQifQ==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87618D7AD86F46C4A244448B0A446163_12</vt:lpwstr>
  </property>
</Properties>
</file>