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cs="Arial" w:asciiTheme="majorHAnsi" w:hAnsiTheme="majorHAnsi"/>
          <w:sz w:val="28"/>
          <w:szCs w:val="28"/>
        </w:rPr>
        <w:t xml:space="preserve">Более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cs="Arial" w:asciiTheme="majorHAnsi" w:hAnsiTheme="majorHAnsi"/>
          <w:sz w:val="28"/>
          <w:szCs w:val="28"/>
        </w:rPr>
        <w:t xml:space="preserve">подробную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cs="Arial" w:asciiTheme="majorHAnsi" w:hAnsiTheme="majorHAnsi"/>
          <w:sz w:val="28"/>
          <w:szCs w:val="28"/>
        </w:rPr>
        <w:t xml:space="preserve">информацию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br/>
      </w:r>
      <w:r>
        <w:rPr>
          <w:rFonts w:cs="Arial" w:asciiTheme="majorHAnsi" w:hAnsiTheme="majorHAnsi"/>
          <w:sz w:val="28"/>
          <w:szCs w:val="28"/>
        </w:rPr>
        <w:t xml:space="preserve">можно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cs="Arial" w:asciiTheme="majorHAnsi" w:hAnsiTheme="majorHAnsi"/>
          <w:sz w:val="28"/>
          <w:szCs w:val="28"/>
        </w:rPr>
        <w:t xml:space="preserve">получить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sz w:val="28"/>
          <w:szCs w:val="28"/>
        </w:rPr>
        <w:t xml:space="preserve">по телефону:</w:t>
      </w:r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8 800 775 11 </w:t>
      </w:r>
      <w:r>
        <w:rPr>
          <w:rFonts w:asciiTheme="majorHAnsi" w:hAnsiTheme="majorHAnsi" w:cstheme="minorHAnsi"/>
          <w:sz w:val="28"/>
          <w:szCs w:val="28"/>
        </w:rPr>
        <w:t xml:space="preserve">22</w:t>
      </w:r>
      <w:r>
        <w:rPr>
          <w:rFonts w:asciiTheme="majorHAnsi" w:hAnsiTheme="majorHAnsi" w:cstheme="minorHAnsi"/>
          <w:sz w:val="28"/>
          <w:szCs w:val="28"/>
        </w:rPr>
        <w:t xml:space="preserve"> – АО «ДОМ</w:t>
      </w:r>
      <w:r>
        <w:rPr>
          <w:rFonts w:asciiTheme="majorHAnsi" w:hAnsiTheme="majorHAnsi" w:cstheme="minorHAnsi"/>
          <w:sz w:val="28"/>
          <w:szCs w:val="28"/>
        </w:rPr>
        <w:t xml:space="preserve">.</w:t>
      </w:r>
      <w:r>
        <w:rPr>
          <w:rFonts w:asciiTheme="majorHAnsi" w:hAnsiTheme="majorHAnsi" w:cstheme="minorHAnsi"/>
          <w:sz w:val="28"/>
          <w:szCs w:val="28"/>
        </w:rPr>
        <w:t xml:space="preserve">Р</w:t>
      </w:r>
      <w:r>
        <w:rPr>
          <w:rFonts w:asciiTheme="majorHAnsi" w:hAnsiTheme="majorHAnsi" w:cstheme="minorHAnsi"/>
          <w:sz w:val="28"/>
          <w:szCs w:val="28"/>
        </w:rPr>
        <w:t xml:space="preserve">Ф»</w:t>
      </w:r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8 800 100 0 </w:t>
      </w:r>
      <w:r>
        <w:rPr>
          <w:rFonts w:asciiTheme="majorHAnsi" w:hAnsiTheme="majorHAnsi" w:cstheme="minorHAnsi"/>
          <w:sz w:val="28"/>
          <w:szCs w:val="28"/>
        </w:rPr>
        <w:t xml:space="preserve">100</w:t>
      </w:r>
      <w:r>
        <w:rPr>
          <w:rFonts w:asciiTheme="majorHAnsi" w:hAnsiTheme="majorHAnsi" w:cstheme="minorHAnsi"/>
          <w:sz w:val="28"/>
          <w:szCs w:val="28"/>
        </w:rPr>
        <w:t xml:space="preserve"> – АО «Россельхозбанк»</w:t>
      </w:r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8 800 100 24 24 – Банк ВТБ (ПАО)</w:t>
      </w:r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8 800 100 07 01 - «Газпромбанк» (АО)</w:t>
      </w:r>
      <w:r/>
    </w:p>
    <w:p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900</w:t>
      </w:r>
      <w:r>
        <w:rPr>
          <w:rFonts w:asciiTheme="majorHAnsi" w:hAnsiTheme="majorHAnsi" w:cstheme="minorHAnsi"/>
          <w:sz w:val="28"/>
          <w:szCs w:val="28"/>
        </w:rPr>
        <w:t xml:space="preserve"> – ПАО «Сбербанк»</w:t>
      </w:r>
      <w:r/>
      <w:r>
        <w:rPr>
          <w:rFonts w:asciiTheme="majorHAnsi" w:hAnsiTheme="majorHAnsi" w:cstheme="minorHAnsi"/>
          <w:sz w:val="28"/>
          <w:szCs w:val="28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7375" cy="4492625"/>
                <wp:effectExtent l="0" t="0" r="3175" b="317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97375" cy="449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6.3pt;height:353.8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hi-IN"/>
        </w:rPr>
      </w:pP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С 25 сентября 2019 года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многодетные семьи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могут получать от государства 450 тысяч рублей на погашение ипотеки. Правила по выплатам компенсаций, утверждены постановлением Правительства РФ от 07.09.2019 № 1170.  </w:t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hi-IN"/>
        </w:rPr>
      </w:pP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Право на указанную меру государственной поддержки имеет мать или отец, граждане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РФ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, у которых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в период </w:t>
      </w:r>
      <w:r>
        <w:rPr>
          <w:rFonts w:eastAsia="Courier New" w:cstheme="minorHAnsi"/>
          <w:b/>
          <w:color w:val="000000" w:themeColor="text1"/>
          <w:sz w:val="24"/>
          <w:szCs w:val="24"/>
          <w:lang w:eastAsia="hi-IN"/>
        </w:rPr>
        <w:t xml:space="preserve">с 1 января 2019 года по 31 декабря 2023 года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родились третий ребенок или последующие дети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и которые являются заемщиками по ипотечному жилищному кредиту (займу). Причем в семью не учитываются дети,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не являющиеся гражданами РФ, и дети, в отношении которых мать или отец были лишены родительских прав или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в отношении которых было отменено усыновление.</w:t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hi-IN"/>
        </w:rPr>
      </w:pP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Мера государственной поддержки предоставляется путем полного или частичного погашения обязательств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 ипотечному жилищному кредиту (займу) гражданина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в размере его задолженности, но не более 450 тысяч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hi-IN"/>
        </w:rPr>
      </w:pP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Полное или частичное погашение обязательств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 ипотечным жилищным кредитам (займам) осуществляется в случае, если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семьей </w:t>
      </w:r>
      <w:r>
        <w:rPr>
          <w:rFonts w:eastAsia="Courier New" w:cstheme="minorHAnsi"/>
          <w:b/>
          <w:color w:val="000000" w:themeColor="text1"/>
          <w:sz w:val="24"/>
          <w:szCs w:val="24"/>
          <w:lang w:eastAsia="hi-IN"/>
        </w:rPr>
        <w:t xml:space="preserve">до 1 июля 2024 года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заключен кредитный договор (договор займа), целью которого является: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1) приобретение по договору купли-продажи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на территории Российской Федерации у юридического или физического л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приобретение жилого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помещения по договору участия в долевом строительстве или соглашению (договору) об уступке прав требований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по указанному договору в соответствии с положениями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https://internet.garant.ru/#/document/12138267/entry/0" w:anchor="/document/12138267/entry/0" w:history="1">
        <w:r>
          <w:rPr>
            <w:rStyle w:val="609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Федерального закона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от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30.12.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2004 № 214-ФЗ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2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строительство на территории Российской Федерации объекта индивидуального жилищного строительства;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3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приобретение по договору купли-продажи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на территории Российской Федерации</w:t>
      </w:r>
      <w:bookmarkStart w:id="0" w:name="_GoBack"/>
      <w:r/>
      <w:bookmarkEnd w:id="0"/>
      <w:r>
        <w:rPr>
          <w:color w:val="000000" w:themeColor="text1"/>
          <w:sz w:val="24"/>
          <w:szCs w:val="24"/>
          <w:shd w:val="clear" w:color="auto" w:fill="ffffff"/>
        </w:rPr>
        <w:t xml:space="preserve"> у юридического или физического лица объекта индивидуального жилищного строительства, строительство которого не завершено;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4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приобретение на территории Российской Федерации доли (долей) в праве общей собственности на объект недвижимости при условии, что в результате приобретения такой доли (долей) объект недвижимости поступает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в собственность гражданина, либо в общую собственность супругов;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уплата (внесение) паевого взноса члена жилищно-строительного кооператива, деятельность которого соответствует требованиям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 w:themeColor="text1"/>
          <w:sz w:val="24"/>
          <w:szCs w:val="24"/>
          <w:shd w:val="clear" w:color="auto" w:fill="ffffff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от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30.12.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2004 № 214-ФЗ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, члена жилищно-строительного кооператива или члена жилищного накопительного кооператива, деятельность которых соответствует требованиям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0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1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.07.2018 №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175-ФЗ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6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приобретение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4"/>
          <w:szCs w:val="24"/>
          <w:lang w:eastAsia="hi-IN"/>
        </w:rPr>
      </w:pP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Указанная 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мера поддержки предоставляется однократно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, п</w:t>
      </w:r>
      <w:r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овторно участвовать в программе нельзя, даже если родился еще один ребенок или был взят еще один ипотечный кредит.</w:t>
      </w:r>
      <w:r/>
    </w:p>
    <w:p>
      <w:pPr>
        <w:ind w:firstLine="567"/>
        <w:jc w:val="both"/>
        <w:spacing w:after="0" w:line="240" w:lineRule="auto"/>
        <w:rPr>
          <w:rFonts w:eastAsia="Courier New" w:cstheme="minorHAnsi"/>
          <w:color w:val="000000"/>
          <w:sz w:val="25"/>
          <w:szCs w:val="25"/>
          <w:lang w:eastAsia="hi-IN"/>
        </w:rPr>
      </w:pPr>
      <w:r>
        <w:rPr>
          <w:rFonts w:eastAsia="Courier New" w:cstheme="minorHAnsi"/>
          <w:color w:val="000000"/>
          <w:sz w:val="25"/>
          <w:szCs w:val="25"/>
          <w:lang w:eastAsia="hi-IN"/>
        </w:rPr>
      </w:r>
      <w:r/>
    </w:p>
    <w:sectPr>
      <w:footnotePr/>
      <w:endnotePr/>
      <w:type w:val="nextPage"/>
      <w:pgSz w:w="16838" w:h="11906" w:orient="landscape"/>
      <w:pgMar w:top="850" w:right="1134" w:bottom="1418" w:left="1134" w:header="708" w:footer="708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Devanagari">
    <w:panose1 w:val="02000603000000000000"/>
  </w:font>
  <w:font w:name="PT Sans">
    <w:panose1 w:val="020B05030202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Tahoma" w:hAnsi="Tahoma" w:cs="Tahoma"/>
      <w:sz w:val="16"/>
      <w:szCs w:val="16"/>
    </w:rPr>
  </w:style>
  <w:style w:type="paragraph" w:styleId="605">
    <w:name w:val="Body Text"/>
    <w:basedOn w:val="598"/>
    <w:link w:val="606"/>
    <w:semiHidden/>
    <w:unhideWhenUsed/>
    <w:pPr>
      <w:spacing w:after="140"/>
    </w:pPr>
    <w:rPr>
      <w:rFonts w:ascii="PT Sans" w:hAnsi="PT Sans" w:cs="Noto Sans Devanagari" w:eastAsia="Tahoma"/>
      <w:sz w:val="24"/>
      <w:szCs w:val="24"/>
      <w:lang w:bidi="hi-IN" w:eastAsia="zh-CN"/>
    </w:rPr>
  </w:style>
  <w:style w:type="character" w:styleId="606" w:customStyle="1">
    <w:name w:val="Основной текст Знак"/>
    <w:basedOn w:val="600"/>
    <w:link w:val="605"/>
    <w:semiHidden/>
    <w:rPr>
      <w:rFonts w:ascii="PT Sans" w:hAnsi="PT Sans" w:cs="Noto Sans Devanagari" w:eastAsia="Tahoma"/>
      <w:sz w:val="24"/>
      <w:szCs w:val="24"/>
      <w:lang w:bidi="hi-IN" w:eastAsia="zh-CN"/>
    </w:rPr>
  </w:style>
  <w:style w:type="character" w:styleId="607">
    <w:name w:val="Strong"/>
    <w:basedOn w:val="600"/>
    <w:qFormat/>
    <w:rPr>
      <w:b/>
      <w:bCs/>
    </w:rPr>
  </w:style>
  <w:style w:type="character" w:styleId="608" w:customStyle="1">
    <w:name w:val="Заголовок 1 Знак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9">
    <w:name w:val="Hyperlink"/>
    <w:basedOn w:val="60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Arial"/>
        <a:cs typeface="Arial"/>
      </a:majorFont>
      <a:minorFont>
        <a:latin typeface="Arial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EAA2406-1DA0-459D-9402-27E4E324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revision>70</cp:revision>
  <dcterms:created xsi:type="dcterms:W3CDTF">2019-11-15T11:27:00Z</dcterms:created>
  <dcterms:modified xsi:type="dcterms:W3CDTF">2022-07-21T09:08:57Z</dcterms:modified>
</cp:coreProperties>
</file>